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深州丰源村镇银行股份有限公司</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ascii="方正小标宋简体" w:hAnsi="方正小标宋简体" w:eastAsia="方正小标宋简体" w:cs="方正小标宋简体"/>
          <w:b/>
          <w:sz w:val="44"/>
          <w:szCs w:val="44"/>
          <w:highlight w:val="none"/>
        </w:rPr>
      </w:pPr>
      <w:r>
        <w:rPr>
          <w:rFonts w:hint="eastAsia" w:ascii="方正小标宋简体" w:hAnsi="方正小标宋简体" w:eastAsia="方正小标宋简体" w:cs="方正小标宋简体"/>
          <w:b w:val="0"/>
          <w:bCs/>
          <w:sz w:val="44"/>
          <w:szCs w:val="44"/>
        </w:rPr>
        <w:t>二</w:t>
      </w:r>
      <w:r>
        <w:rPr>
          <w:rFonts w:hint="eastAsia" w:ascii="方正小标宋简体" w:hAnsi="方正小标宋简体" w:eastAsia="方正小标宋简体" w:cs="方正小标宋简体"/>
          <w:b w:val="0"/>
          <w:bCs/>
          <w:sz w:val="44"/>
          <w:szCs w:val="44"/>
          <w:highlight w:val="none"/>
          <w:lang w:eastAsia="zh-CN"/>
        </w:rPr>
        <w:t>〇二一</w:t>
      </w:r>
      <w:r>
        <w:rPr>
          <w:rFonts w:hint="eastAsia" w:ascii="方正小标宋简体" w:hAnsi="方正小标宋简体" w:eastAsia="方正小标宋简体" w:cs="方正小标宋简体"/>
          <w:b w:val="0"/>
          <w:bCs/>
          <w:sz w:val="44"/>
          <w:szCs w:val="44"/>
          <w:highlight w:val="none"/>
        </w:rPr>
        <w:t>年度信息披露报告</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eastAsia="仿宋_GB2312"/>
          <w:sz w:val="32"/>
          <w:szCs w:val="28"/>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仿宋_GB2312"/>
          <w:sz w:val="32"/>
          <w:szCs w:val="28"/>
        </w:rPr>
      </w:pPr>
      <w:r>
        <w:rPr>
          <w:rFonts w:hint="eastAsia" w:eastAsia="仿宋_GB2312"/>
          <w:sz w:val="32"/>
          <w:szCs w:val="28"/>
        </w:rPr>
        <w:t>为了进一步提高经营透明度，加强社会监督，使股东和其他利益相关者能够及时了解深州丰源村镇银行（以下简称我行）发展状况，全面监督我行</w:t>
      </w:r>
      <w:r>
        <w:rPr>
          <w:rFonts w:hint="eastAsia" w:eastAsia="仿宋_GB2312"/>
          <w:sz w:val="32"/>
          <w:szCs w:val="28"/>
          <w:highlight w:val="none"/>
        </w:rPr>
        <w:t>的经营行为，根据《商业银行信息披露办法》的要求，我行对</w:t>
      </w:r>
      <w:r>
        <w:rPr>
          <w:rFonts w:eastAsia="仿宋_GB2312"/>
          <w:sz w:val="32"/>
          <w:szCs w:val="28"/>
          <w:highlight w:val="none"/>
        </w:rPr>
        <w:t>20</w:t>
      </w:r>
      <w:r>
        <w:rPr>
          <w:rFonts w:hint="eastAsia" w:eastAsia="仿宋_GB2312"/>
          <w:sz w:val="32"/>
          <w:szCs w:val="28"/>
          <w:highlight w:val="none"/>
          <w:lang w:val="en-US" w:eastAsia="zh-CN"/>
        </w:rPr>
        <w:t>21</w:t>
      </w:r>
      <w:r>
        <w:rPr>
          <w:rFonts w:hint="eastAsia" w:eastAsia="仿宋_GB2312"/>
          <w:sz w:val="32"/>
          <w:szCs w:val="28"/>
          <w:highlight w:val="none"/>
        </w:rPr>
        <w:t>年度经</w:t>
      </w:r>
      <w:r>
        <w:rPr>
          <w:rFonts w:hint="eastAsia" w:eastAsia="仿宋_GB2312"/>
          <w:sz w:val="32"/>
          <w:szCs w:val="28"/>
        </w:rPr>
        <w:t>营情况进行披露，内容如下：</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40" w:lineRule="exact"/>
        <w:ind w:left="602" w:leftChars="0"/>
        <w:textAlignment w:val="auto"/>
        <w:rPr>
          <w:rFonts w:eastAsia="黑体"/>
          <w:b/>
          <w:sz w:val="32"/>
          <w:szCs w:val="28"/>
          <w:highlight w:val="none"/>
        </w:rPr>
      </w:pPr>
      <w:r>
        <w:rPr>
          <w:rFonts w:hint="eastAsia" w:eastAsia="黑体"/>
          <w:b w:val="0"/>
          <w:bCs/>
          <w:sz w:val="32"/>
          <w:szCs w:val="28"/>
          <w:highlight w:val="none"/>
          <w:lang w:eastAsia="zh-CN"/>
        </w:rPr>
        <w:t>一、</w:t>
      </w:r>
      <w:r>
        <w:rPr>
          <w:rFonts w:hint="eastAsia" w:eastAsia="黑体"/>
          <w:b w:val="0"/>
          <w:bCs/>
          <w:sz w:val="32"/>
          <w:szCs w:val="28"/>
          <w:highlight w:val="none"/>
        </w:rPr>
        <w:t>信息披露范围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sz w:val="32"/>
          <w:szCs w:val="28"/>
          <w:lang w:eastAsia="zh-CN"/>
        </w:rPr>
      </w:pPr>
      <w:r>
        <w:rPr>
          <w:rFonts w:hint="eastAsia" w:eastAsia="仿宋_GB2312"/>
          <w:sz w:val="32"/>
          <w:szCs w:val="28"/>
          <w:lang w:eastAsia="zh-CN"/>
        </w:rPr>
        <w:t>此次信息披露面向社会公众、股东及其他利益相关者。为保护消费者的合法权益，维护社会经济秩序，我行在依法经营的基础上，遵循自愿、平等、公平、诚实信用的原则，听取消费者的意见和建议，接受社会公众的监督。</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40" w:lineRule="exact"/>
        <w:ind w:left="602" w:leftChars="0"/>
        <w:textAlignment w:val="auto"/>
        <w:rPr>
          <w:rFonts w:hint="eastAsia" w:eastAsia="黑体"/>
          <w:b/>
          <w:sz w:val="32"/>
          <w:szCs w:val="28"/>
          <w:highlight w:val="none"/>
          <w:lang w:eastAsia="zh-CN"/>
        </w:rPr>
      </w:pPr>
      <w:r>
        <w:rPr>
          <w:rFonts w:hint="eastAsia" w:eastAsia="黑体"/>
          <w:b w:val="0"/>
          <w:bCs/>
          <w:sz w:val="32"/>
          <w:szCs w:val="28"/>
          <w:highlight w:val="none"/>
          <w:lang w:eastAsia="zh-CN"/>
        </w:rPr>
        <w:t>二、信息披露方式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sz w:val="32"/>
          <w:szCs w:val="28"/>
          <w:lang w:eastAsia="zh-CN"/>
        </w:rPr>
      </w:pPr>
      <w:r>
        <w:rPr>
          <w:rFonts w:hint="eastAsia" w:eastAsia="仿宋_GB2312"/>
          <w:sz w:val="32"/>
          <w:szCs w:val="28"/>
          <w:lang w:eastAsia="zh-CN"/>
        </w:rPr>
        <w:t>在信息披露期内，将《深州丰源村镇银行股份有限公司</w:t>
      </w:r>
      <w:r>
        <w:rPr>
          <w:rFonts w:hint="eastAsia" w:eastAsia="仿宋_GB2312"/>
          <w:sz w:val="32"/>
          <w:szCs w:val="28"/>
          <w:highlight w:val="none"/>
          <w:lang w:eastAsia="zh-CN"/>
        </w:rPr>
        <w:t>20</w:t>
      </w:r>
      <w:r>
        <w:rPr>
          <w:rFonts w:hint="eastAsia" w:eastAsia="仿宋_GB2312"/>
          <w:sz w:val="32"/>
          <w:szCs w:val="28"/>
          <w:highlight w:val="none"/>
          <w:lang w:val="en-US" w:eastAsia="zh-CN"/>
        </w:rPr>
        <w:t>21</w:t>
      </w:r>
      <w:r>
        <w:rPr>
          <w:rFonts w:hint="eastAsia" w:eastAsia="仿宋_GB2312"/>
          <w:sz w:val="32"/>
          <w:szCs w:val="28"/>
          <w:highlight w:val="none"/>
          <w:lang w:eastAsia="zh-CN"/>
        </w:rPr>
        <w:t>年</w:t>
      </w:r>
      <w:r>
        <w:rPr>
          <w:rFonts w:hint="eastAsia" w:eastAsia="仿宋_GB2312"/>
          <w:sz w:val="32"/>
          <w:szCs w:val="28"/>
          <w:lang w:eastAsia="zh-CN"/>
        </w:rPr>
        <w:t>度信息披露报告》放置在各营业网点营业柜台外供股东及其利益相关者查阅；信息披露结束后，文本将在办公室存放，</w:t>
      </w:r>
      <w:r>
        <w:rPr>
          <w:rFonts w:hint="eastAsia" w:eastAsia="仿宋_GB2312"/>
          <w:sz w:val="32"/>
          <w:szCs w:val="28"/>
          <w:lang w:val="en-US" w:eastAsia="zh-CN"/>
        </w:rPr>
        <w:t>并</w:t>
      </w:r>
      <w:r>
        <w:rPr>
          <w:rFonts w:hint="eastAsia" w:eastAsia="仿宋_GB2312"/>
          <w:sz w:val="32"/>
          <w:szCs w:val="28"/>
          <w:lang w:eastAsia="zh-CN"/>
        </w:rPr>
        <w:t>按银保监会相关规定及时登载于互联网网络，确保公众能方便地查阅。</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40" w:lineRule="exact"/>
        <w:ind w:left="602" w:leftChars="0"/>
        <w:textAlignment w:val="auto"/>
        <w:rPr>
          <w:rFonts w:hint="eastAsia" w:eastAsia="黑体"/>
          <w:b/>
          <w:sz w:val="32"/>
          <w:szCs w:val="28"/>
          <w:highlight w:val="none"/>
          <w:lang w:eastAsia="zh-CN"/>
        </w:rPr>
      </w:pPr>
      <w:r>
        <w:rPr>
          <w:rFonts w:hint="eastAsia" w:eastAsia="黑体"/>
          <w:b w:val="0"/>
          <w:bCs/>
          <w:sz w:val="32"/>
          <w:szCs w:val="28"/>
          <w:highlight w:val="none"/>
          <w:lang w:eastAsia="zh-CN"/>
        </w:rPr>
        <w:t>三、信息披露时间</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150"/>
        <w:textAlignment w:val="auto"/>
        <w:rPr>
          <w:rFonts w:hint="eastAsia" w:eastAsia="仿宋_GB2312"/>
          <w:sz w:val="32"/>
          <w:szCs w:val="28"/>
          <w:lang w:eastAsia="zh-CN"/>
        </w:rPr>
      </w:pPr>
      <w:r>
        <w:rPr>
          <w:rFonts w:hint="eastAsia" w:eastAsia="仿宋_GB2312"/>
          <w:sz w:val="32"/>
          <w:szCs w:val="28"/>
          <w:lang w:eastAsia="zh-CN"/>
        </w:rPr>
        <w:t>信息披露期限为自信息披露之日起长期披露。</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40" w:lineRule="exact"/>
        <w:ind w:left="602" w:leftChars="0"/>
        <w:textAlignment w:val="auto"/>
        <w:rPr>
          <w:rFonts w:hint="eastAsia" w:eastAsia="黑体"/>
          <w:b/>
          <w:sz w:val="32"/>
          <w:szCs w:val="28"/>
          <w:highlight w:val="none"/>
          <w:lang w:eastAsia="zh-CN"/>
        </w:rPr>
      </w:pPr>
      <w:r>
        <w:rPr>
          <w:rFonts w:hint="eastAsia" w:eastAsia="黑体"/>
          <w:b w:val="0"/>
          <w:bCs/>
          <w:sz w:val="32"/>
          <w:szCs w:val="28"/>
          <w:highlight w:val="none"/>
          <w:lang w:eastAsia="zh-CN"/>
        </w:rPr>
        <w:t>四、信息披露的具体内容</w:t>
      </w:r>
    </w:p>
    <w:p>
      <w:pPr>
        <w:keepNext w:val="0"/>
        <w:keepLines w:val="0"/>
        <w:pageBreakBefore w:val="0"/>
        <w:widowControl w:val="0"/>
        <w:kinsoku/>
        <w:wordWrap/>
        <w:overflowPunct/>
        <w:topLinePunct w:val="0"/>
        <w:autoSpaceDE/>
        <w:autoSpaceDN/>
        <w:bidi w:val="0"/>
        <w:adjustRightInd/>
        <w:snapToGrid/>
        <w:spacing w:line="540" w:lineRule="exact"/>
        <w:ind w:firstLine="482" w:firstLineChars="150"/>
        <w:textAlignment w:val="auto"/>
        <w:rPr>
          <w:rFonts w:hint="eastAsia" w:eastAsia="楷体GB2312"/>
          <w:b/>
          <w:sz w:val="32"/>
          <w:szCs w:val="28"/>
        </w:rPr>
      </w:pPr>
      <w:r>
        <w:rPr>
          <w:rFonts w:hint="eastAsia" w:ascii="楷体" w:hAnsi="楷体" w:eastAsia="楷体" w:cs="楷体"/>
          <w:b/>
          <w:sz w:val="32"/>
          <w:szCs w:val="28"/>
          <w:lang w:eastAsia="zh-CN"/>
        </w:rPr>
        <w:t>（一）</w:t>
      </w:r>
      <w:r>
        <w:rPr>
          <w:rFonts w:hint="eastAsia" w:ascii="楷体" w:hAnsi="楷体" w:eastAsia="楷体" w:cs="楷体"/>
          <w:b/>
          <w:sz w:val="32"/>
          <w:szCs w:val="28"/>
        </w:rPr>
        <w:t>基本情况</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eastAsia="仿宋_GB2312"/>
          <w:sz w:val="32"/>
          <w:szCs w:val="28"/>
          <w:lang w:val="en-US" w:eastAsia="zh-CN"/>
        </w:rPr>
      </w:pPr>
      <w:r>
        <w:rPr>
          <w:rFonts w:hint="eastAsia" w:eastAsia="仿宋_GB2312"/>
          <w:b/>
          <w:bCs/>
          <w:sz w:val="32"/>
          <w:szCs w:val="28"/>
          <w:lang w:val="en-US" w:eastAsia="zh-CN"/>
        </w:rPr>
        <w:t>1.注册名称：</w:t>
      </w:r>
      <w:r>
        <w:rPr>
          <w:rFonts w:hint="eastAsia" w:eastAsia="仿宋_GB2312"/>
          <w:sz w:val="32"/>
          <w:szCs w:val="28"/>
          <w:lang w:val="en-US" w:eastAsia="zh-CN"/>
        </w:rPr>
        <w:t>深州丰源村镇银行股份有限公司</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eastAsia="仿宋_GB2312"/>
          <w:sz w:val="32"/>
          <w:szCs w:val="28"/>
          <w:lang w:val="en-US" w:eastAsia="zh-CN"/>
        </w:rPr>
      </w:pPr>
      <w:r>
        <w:rPr>
          <w:rFonts w:hint="eastAsia" w:eastAsia="仿宋_GB2312"/>
          <w:b/>
          <w:bCs/>
          <w:sz w:val="32"/>
          <w:szCs w:val="28"/>
          <w:lang w:val="en-US" w:eastAsia="zh-CN"/>
        </w:rPr>
        <w:t>2.法人代表：</w:t>
      </w:r>
      <w:r>
        <w:rPr>
          <w:rFonts w:hint="eastAsia" w:eastAsia="仿宋_GB2312"/>
          <w:sz w:val="32"/>
          <w:szCs w:val="28"/>
          <w:lang w:val="en-US" w:eastAsia="zh-CN"/>
        </w:rPr>
        <w:t>金今子</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eastAsia="仿宋_GB2312"/>
          <w:sz w:val="32"/>
          <w:szCs w:val="28"/>
          <w:lang w:val="en-US" w:eastAsia="zh-CN"/>
        </w:rPr>
      </w:pPr>
      <w:r>
        <w:rPr>
          <w:rFonts w:hint="eastAsia" w:eastAsia="仿宋_GB2312"/>
          <w:b/>
          <w:bCs/>
          <w:sz w:val="32"/>
          <w:szCs w:val="28"/>
          <w:lang w:val="en-US" w:eastAsia="zh-CN"/>
        </w:rPr>
        <w:t>3.注册地址：</w:t>
      </w:r>
      <w:r>
        <w:rPr>
          <w:rFonts w:hint="eastAsia" w:eastAsia="仿宋_GB2312"/>
          <w:sz w:val="32"/>
          <w:szCs w:val="28"/>
          <w:lang w:val="en-US" w:eastAsia="zh-CN"/>
        </w:rPr>
        <w:t>河北省深州市长江西路287号</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150"/>
        <w:textAlignment w:val="auto"/>
        <w:rPr>
          <w:rFonts w:hint="eastAsia" w:eastAsia="仿宋_GB2312"/>
          <w:sz w:val="32"/>
          <w:szCs w:val="28"/>
          <w:lang w:val="en-US" w:eastAsia="zh-CN"/>
        </w:rPr>
      </w:pPr>
      <w:r>
        <w:rPr>
          <w:rFonts w:hint="eastAsia" w:eastAsia="仿宋_GB2312"/>
          <w:sz w:val="32"/>
          <w:szCs w:val="28"/>
          <w:lang w:val="en-US" w:eastAsia="zh-CN"/>
        </w:rPr>
        <w:t>（邮政编码：053800，联系电话：0318-3618016）</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eastAsia="仿宋_GB2312"/>
          <w:sz w:val="32"/>
          <w:szCs w:val="28"/>
          <w:lang w:val="en-US" w:eastAsia="zh-CN"/>
        </w:rPr>
      </w:pPr>
      <w:r>
        <w:rPr>
          <w:rFonts w:hint="eastAsia" w:eastAsia="仿宋_GB2312"/>
          <w:b/>
          <w:bCs/>
          <w:sz w:val="32"/>
          <w:szCs w:val="28"/>
          <w:lang w:val="en-US" w:eastAsia="zh-CN"/>
        </w:rPr>
        <w:t>4.其他有关信息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银监局批准开业日期：2014年11月14日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金融许可证机构编码：S0060H313110001</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注册登记日期：2014年11月24日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登记地点：衡水市工商行政管理局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注册资金：5000万元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企业法人营业执照注册号：91131100319954199R</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eastAsia="仿宋_GB2312"/>
          <w:sz w:val="32"/>
          <w:szCs w:val="28"/>
          <w:lang w:val="en-US" w:eastAsia="zh-CN"/>
        </w:rPr>
      </w:pPr>
      <w:r>
        <w:rPr>
          <w:rFonts w:hint="eastAsia" w:eastAsia="仿宋_GB2312"/>
          <w:b/>
          <w:bCs/>
          <w:sz w:val="32"/>
          <w:szCs w:val="28"/>
          <w:lang w:val="en-US" w:eastAsia="zh-CN"/>
        </w:rPr>
        <w:t>5.经营范围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28"/>
          <w:lang w:val="en-US" w:eastAsia="zh-CN"/>
        </w:rPr>
      </w:pPr>
      <w:r>
        <w:rPr>
          <w:rFonts w:hint="eastAsia" w:ascii="仿宋_GB2312" w:hAnsi="仿宋_GB2312" w:eastAsia="仿宋_GB2312" w:cs="仿宋_GB2312"/>
          <w:sz w:val="32"/>
          <w:szCs w:val="28"/>
          <w:lang w:val="en-US" w:eastAsia="zh-CN"/>
        </w:rPr>
        <w:t>吸收公众存款；发放短期、中期和长期贷款；办理国内结算；办理票据承兑与贴现；从事同业拆借；从事银行卡(借记卡)业务；代理发行、代理兑付、承销政府债券；代理收付款项；经中国银行业监督管理机构批准的其他业务。(依法须经批准的项目，经</w:t>
      </w:r>
      <w:r>
        <w:rPr>
          <w:rFonts w:hint="eastAsia" w:ascii="仿宋_GB2312" w:hAnsi="仿宋_GB2312" w:eastAsia="仿宋_GB2312" w:cs="仿宋_GB2312"/>
          <w:color w:val="auto"/>
          <w:sz w:val="32"/>
          <w:szCs w:val="28"/>
          <w:lang w:val="en-US" w:eastAsia="zh-CN"/>
        </w:rPr>
        <w:t>相关部门批准后方可开展经营活动)</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color w:val="auto"/>
          <w:sz w:val="32"/>
          <w:szCs w:val="28"/>
          <w:lang w:eastAsia="zh-CN"/>
        </w:rPr>
      </w:pPr>
      <w:r>
        <w:rPr>
          <w:rFonts w:hint="eastAsia" w:ascii="楷体" w:hAnsi="楷体" w:eastAsia="楷体" w:cs="楷体"/>
          <w:b/>
          <w:color w:val="auto"/>
          <w:sz w:val="32"/>
          <w:szCs w:val="28"/>
          <w:lang w:eastAsia="zh-CN"/>
        </w:rPr>
        <w:t>（二）截至报告期末主要财务信息</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eastAsia="仿宋_GB2312"/>
          <w:color w:val="auto"/>
          <w:sz w:val="32"/>
          <w:szCs w:val="28"/>
          <w:lang w:val="en-US" w:eastAsia="zh-CN"/>
        </w:rPr>
      </w:pPr>
      <w:r>
        <w:rPr>
          <w:rFonts w:hint="eastAsia" w:eastAsia="仿宋_GB2312"/>
          <w:b/>
          <w:bCs/>
          <w:color w:val="auto"/>
          <w:sz w:val="32"/>
          <w:szCs w:val="28"/>
          <w:lang w:val="en-US" w:eastAsia="zh-CN"/>
        </w:rPr>
        <w:t>1.利润情况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28"/>
          <w:lang w:val="en-US" w:eastAsia="zh-CN"/>
        </w:rPr>
      </w:pPr>
      <w:r>
        <w:rPr>
          <w:rFonts w:hint="eastAsia" w:ascii="仿宋_GB2312" w:hAnsi="仿宋_GB2312" w:eastAsia="仿宋_GB2312" w:cs="仿宋_GB2312"/>
          <w:sz w:val="32"/>
          <w:szCs w:val="28"/>
          <w:lang w:val="en-US" w:eastAsia="zh-CN"/>
        </w:rPr>
        <w:t>截至2021年末，我行实现拨备前利润1,392.76万元，利润总额1,292.27万元，净利润1,451.75万元。</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eastAsia="仿宋_GB2312"/>
          <w:sz w:val="32"/>
          <w:szCs w:val="28"/>
          <w:lang w:val="en-US" w:eastAsia="zh-CN"/>
        </w:rPr>
      </w:pPr>
      <w:r>
        <w:rPr>
          <w:rFonts w:hint="eastAsia" w:eastAsia="仿宋_GB2312"/>
          <w:b/>
          <w:bCs/>
          <w:sz w:val="32"/>
          <w:szCs w:val="28"/>
          <w:lang w:val="en-US" w:eastAsia="zh-CN"/>
        </w:rPr>
        <w:t>2.资产情况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28"/>
          <w:lang w:val="en-US" w:eastAsia="zh-CN"/>
        </w:rPr>
      </w:pPr>
      <w:r>
        <w:rPr>
          <w:rFonts w:hint="eastAsia" w:ascii="仿宋_GB2312" w:hAnsi="仿宋_GB2312" w:eastAsia="仿宋_GB2312" w:cs="仿宋_GB2312"/>
          <w:sz w:val="32"/>
          <w:szCs w:val="28"/>
          <w:lang w:val="en-US" w:eastAsia="zh-CN"/>
        </w:rPr>
        <w:t>截至2021年末，全行资产总额97,672.69万元,其中:各项贷款54,287.78万元,占资产总额的55.58%；存放中央银行款项4,501.76万元，占资产总额的4.61%;存放同业款项39,294.15万元，占资产总额40.23%；其他非生息资产1,259.49万元，占资产总额1.29%。</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eastAsia="仿宋_GB2312"/>
          <w:b/>
          <w:bCs/>
          <w:color w:val="auto"/>
          <w:sz w:val="32"/>
          <w:szCs w:val="28"/>
          <w:highlight w:val="none"/>
          <w:lang w:val="en-US" w:eastAsia="zh-CN"/>
        </w:rPr>
      </w:pPr>
      <w:r>
        <w:rPr>
          <w:rFonts w:hint="eastAsia" w:eastAsia="仿宋_GB2312"/>
          <w:b/>
          <w:bCs/>
          <w:color w:val="auto"/>
          <w:sz w:val="32"/>
          <w:szCs w:val="28"/>
          <w:highlight w:val="none"/>
          <w:lang w:val="en-US" w:eastAsia="zh-CN"/>
        </w:rPr>
        <w:t>3.负债情况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28"/>
          <w:lang w:val="en-US" w:eastAsia="zh-CN"/>
        </w:rPr>
      </w:pPr>
      <w:r>
        <w:rPr>
          <w:rFonts w:hint="eastAsia" w:ascii="仿宋_GB2312" w:hAnsi="仿宋_GB2312" w:eastAsia="仿宋_GB2312" w:cs="仿宋_GB2312"/>
          <w:sz w:val="32"/>
          <w:szCs w:val="28"/>
          <w:lang w:val="en-US" w:eastAsia="zh-CN"/>
        </w:rPr>
        <w:t>截至2021年末，全行负债总额88,868.77万元，其中各项存款82,865.06万元，占负债总额的93.24%；向中央银行借款2,270.00万元,占负债总额的2.55%；同业存放款项179.29万元，占负债总额的0.20%；其他非付息负债3,554.42万元，占负债总额4.00%。</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eastAsia="仿宋_GB2312"/>
          <w:b/>
          <w:bCs/>
          <w:color w:val="auto"/>
          <w:sz w:val="32"/>
          <w:szCs w:val="28"/>
          <w:highlight w:val="none"/>
          <w:lang w:val="en-US" w:eastAsia="zh-CN"/>
        </w:rPr>
      </w:pPr>
      <w:r>
        <w:rPr>
          <w:rFonts w:hint="eastAsia" w:eastAsia="仿宋_GB2312"/>
          <w:b/>
          <w:bCs/>
          <w:color w:val="auto"/>
          <w:sz w:val="32"/>
          <w:szCs w:val="28"/>
          <w:highlight w:val="none"/>
          <w:lang w:val="en-US" w:eastAsia="zh-CN"/>
        </w:rPr>
        <w:t>4.所有者权益情况</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eastAsia="仿宋_GB2312"/>
          <w:b/>
          <w:bCs/>
          <w:color w:val="auto"/>
          <w:sz w:val="32"/>
          <w:szCs w:val="28"/>
          <w:highlight w:val="none"/>
          <w:lang w:val="en-US" w:eastAsia="zh-CN"/>
        </w:rPr>
      </w:pPr>
      <w:r>
        <w:rPr>
          <w:rFonts w:hint="eastAsia" w:ascii="仿宋_GB2312" w:hAnsi="仿宋_GB2312" w:eastAsia="仿宋_GB2312" w:cs="仿宋_GB2312"/>
          <w:sz w:val="32"/>
          <w:szCs w:val="28"/>
          <w:lang w:val="en-US" w:eastAsia="zh-CN"/>
        </w:rPr>
        <w:t>截至2021年末，所有者权益8,803.92万元，其中实收资本（股本金）5,000.00万元，盈余公积538.79万元，一般风险准备600.00万元，未分配利润2,665.13万元。</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eastAsia="楷体GB2312"/>
          <w:b/>
          <w:color w:val="auto"/>
          <w:sz w:val="32"/>
          <w:szCs w:val="28"/>
          <w:highlight w:val="none"/>
          <w:lang w:eastAsia="zh-CN"/>
        </w:rPr>
      </w:pPr>
      <w:r>
        <w:rPr>
          <w:rFonts w:hint="eastAsia" w:ascii="楷体" w:hAnsi="楷体" w:eastAsia="楷体" w:cs="楷体"/>
          <w:b/>
          <w:color w:val="auto"/>
          <w:sz w:val="32"/>
          <w:szCs w:val="28"/>
          <w:highlight w:val="none"/>
          <w:lang w:eastAsia="zh-CN"/>
        </w:rPr>
        <w:t>（三）风险管理状况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28"/>
          <w:lang w:val="en-US" w:eastAsia="zh-CN"/>
        </w:rPr>
      </w:pPr>
      <w:r>
        <w:rPr>
          <w:rFonts w:hint="eastAsia" w:ascii="仿宋_GB2312" w:hAnsi="仿宋_GB2312" w:eastAsia="仿宋_GB2312" w:cs="仿宋_GB2312"/>
          <w:sz w:val="32"/>
          <w:szCs w:val="28"/>
          <w:lang w:val="en-US" w:eastAsia="zh-CN"/>
        </w:rPr>
        <w:t>针对经济金融形势和监管政策方面出现的新变化，我行不断改善风险管理水平，提高抗风险能力，对可能造成重大影响的风险因素力求做到事前预警、事中监控、及时化解。全行牢固树立审慎经营的原则，从各个层面、各个环节中加大监控力度，完善制约措施，确保了各项业务的稳健运作，全年无事故。</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eastAsia="仿宋_GB2312"/>
          <w:b/>
          <w:bCs/>
          <w:color w:val="auto"/>
          <w:sz w:val="32"/>
          <w:szCs w:val="28"/>
          <w:highlight w:val="none"/>
          <w:lang w:val="en-US" w:eastAsia="zh-CN"/>
        </w:rPr>
      </w:pPr>
      <w:r>
        <w:rPr>
          <w:rFonts w:hint="eastAsia" w:eastAsia="仿宋_GB2312"/>
          <w:b/>
          <w:bCs/>
          <w:color w:val="auto"/>
          <w:sz w:val="32"/>
          <w:szCs w:val="28"/>
          <w:highlight w:val="none"/>
          <w:lang w:val="en-US" w:eastAsia="zh-CN"/>
        </w:rPr>
        <w:t>1.资本充足率等监管性指标情况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28"/>
          <w:lang w:val="en-US" w:eastAsia="zh-CN"/>
        </w:rPr>
      </w:pPr>
      <w:r>
        <w:rPr>
          <w:rFonts w:hint="eastAsia" w:ascii="仿宋_GB2312" w:hAnsi="仿宋_GB2312" w:eastAsia="仿宋_GB2312" w:cs="仿宋_GB2312"/>
          <w:sz w:val="32"/>
          <w:szCs w:val="28"/>
          <w:lang w:val="en-US" w:eastAsia="zh-CN"/>
        </w:rPr>
        <w:t>截至2021年末，我行核心一级资本净额8,803.92万元，一级资本净额8,803.92万元，资本净额9,394.08万元，信用风险加权资产47,802.59万元，操作风险加权资产5,293.44万元，应用资本底线及校准后的风险加权资产合计53,096.03万元，核心一级资本充足率为16.58%，资本充足率为17.69%，流动性比例为248.96%，符合监管要求。</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eastAsia="仿宋_GB2312"/>
          <w:color w:val="auto"/>
          <w:sz w:val="32"/>
          <w:szCs w:val="28"/>
          <w:highlight w:val="none"/>
          <w:lang w:val="en-US" w:eastAsia="zh-CN"/>
        </w:rPr>
      </w:pPr>
      <w:r>
        <w:rPr>
          <w:rFonts w:hint="eastAsia" w:eastAsia="仿宋_GB2312"/>
          <w:b/>
          <w:bCs/>
          <w:color w:val="auto"/>
          <w:sz w:val="32"/>
          <w:szCs w:val="28"/>
          <w:highlight w:val="none"/>
          <w:lang w:val="en-US" w:eastAsia="zh-CN"/>
        </w:rPr>
        <w:t>2.信用风险管理状况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28"/>
          <w:lang w:val="en-US" w:eastAsia="zh-CN"/>
        </w:rPr>
      </w:pPr>
      <w:r>
        <w:rPr>
          <w:rFonts w:hint="eastAsia" w:ascii="仿宋_GB2312" w:hAnsi="仿宋_GB2312" w:eastAsia="仿宋_GB2312" w:cs="仿宋_GB2312"/>
          <w:sz w:val="32"/>
          <w:szCs w:val="28"/>
          <w:lang w:val="en-US" w:eastAsia="zh-CN"/>
        </w:rPr>
        <w:t>（1）信用风险主要是指我行的借款人和对方当事人未按约定条款履行其相关义务形成的风险。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28"/>
          <w:lang w:val="en-US" w:eastAsia="zh-CN"/>
        </w:rPr>
      </w:pPr>
      <w:r>
        <w:rPr>
          <w:rFonts w:hint="eastAsia" w:ascii="仿宋_GB2312" w:hAnsi="仿宋_GB2312" w:eastAsia="仿宋_GB2312" w:cs="仿宋_GB2312"/>
          <w:sz w:val="32"/>
          <w:szCs w:val="28"/>
          <w:lang w:val="en-US" w:eastAsia="zh-CN"/>
        </w:rPr>
        <w:t>我行正在努力建设智能独立、风险制衡的信用风险管理体系，并执行覆盖全行范围的信用风险识别、计量、监控、管理政策和流程，确保风险和收益得到均衡。我行设立内控合规部，成立利率定价委员会、审贷会等，依据定量和定性分析，对客户进行整体风险分析和价值判断，测算信用等级和授信额度。内控合规部负责风险管理的日常工作，对信贷风险点进行有效审查，负责拟定和完善我行内控合规管理制度和实施细则，并组织落实、实施及其他风险合规事项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color w:val="auto"/>
          <w:sz w:val="32"/>
          <w:szCs w:val="28"/>
          <w:highlight w:val="none"/>
          <w:lang w:val="en-US" w:eastAsia="zh-CN"/>
        </w:rPr>
      </w:pPr>
      <w:r>
        <w:rPr>
          <w:rFonts w:hint="eastAsia" w:eastAsia="仿宋_GB2312"/>
          <w:color w:val="auto"/>
          <w:sz w:val="32"/>
          <w:szCs w:val="28"/>
          <w:highlight w:val="none"/>
          <w:lang w:val="en-US" w:eastAsia="zh-CN"/>
        </w:rPr>
        <w:t>我行遵循银保监会贷款新规和审贷分离的原则，制定互相制约的工作岗位及职责，确保信用风险管理流程的有效实施，同时加强贷款风险管理、分类结果的真实完整。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color w:val="auto"/>
          <w:sz w:val="32"/>
          <w:szCs w:val="28"/>
          <w:highlight w:val="none"/>
          <w:lang w:val="en-US" w:eastAsia="zh-CN"/>
        </w:rPr>
      </w:pPr>
      <w:r>
        <w:rPr>
          <w:rFonts w:hint="eastAsia" w:eastAsia="仿宋_GB2312"/>
          <w:color w:val="auto"/>
          <w:sz w:val="32"/>
          <w:szCs w:val="28"/>
          <w:highlight w:val="none"/>
          <w:lang w:val="en-US" w:eastAsia="zh-CN"/>
        </w:rPr>
        <w:t>（2）贷款的主要行业分布情况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28"/>
          <w:highlight w:val="none"/>
          <w:lang w:val="en-US" w:eastAsia="zh-CN"/>
        </w:rPr>
      </w:pPr>
      <w:r>
        <w:rPr>
          <w:rFonts w:hint="eastAsia" w:ascii="仿宋_GB2312" w:hAnsi="仿宋_GB2312" w:eastAsia="仿宋_GB2312" w:cs="仿宋_GB2312"/>
          <w:sz w:val="32"/>
          <w:szCs w:val="28"/>
          <w:highlight w:val="none"/>
          <w:lang w:val="en-US" w:eastAsia="zh-CN"/>
        </w:rPr>
        <w:t>截至2021年末，贷款余额为54,287.78万元，贷款主要行业分布情况（贷款投放前四位行业)：</w:t>
      </w:r>
    </w:p>
    <w:tbl>
      <w:tblPr>
        <w:tblStyle w:val="7"/>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652"/>
        <w:gridCol w:w="2835"/>
        <w:gridCol w:w="20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52" w:type="dxa"/>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行业</w:t>
            </w:r>
          </w:p>
        </w:tc>
        <w:tc>
          <w:tcPr>
            <w:tcW w:w="2835" w:type="dxa"/>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金额（万元）</w:t>
            </w:r>
          </w:p>
        </w:tc>
        <w:tc>
          <w:tcPr>
            <w:tcW w:w="2035" w:type="dxa"/>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占比（</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52" w:type="dxa"/>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制造业</w:t>
            </w:r>
          </w:p>
        </w:tc>
        <w:tc>
          <w:tcPr>
            <w:tcW w:w="2835" w:type="dxa"/>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21,557.91</w:t>
            </w:r>
          </w:p>
        </w:tc>
        <w:tc>
          <w:tcPr>
            <w:tcW w:w="2035" w:type="dxa"/>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_GB2312" w:eastAsia="仿宋_GB2312"/>
                <w:color w:val="auto"/>
                <w:sz w:val="32"/>
                <w:szCs w:val="32"/>
                <w:highlight w:val="none"/>
                <w:lang w:val="en-US"/>
              </w:rPr>
            </w:pPr>
            <w:r>
              <w:rPr>
                <w:rFonts w:hint="eastAsia" w:ascii="仿宋_GB2312" w:eastAsia="仿宋_GB2312"/>
                <w:color w:val="auto"/>
                <w:sz w:val="32"/>
                <w:szCs w:val="32"/>
                <w:highlight w:val="none"/>
                <w:lang w:val="en-US" w:eastAsia="zh-CN"/>
              </w:rPr>
              <w:t>39.71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52" w:type="dxa"/>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批发和零售业</w:t>
            </w:r>
          </w:p>
        </w:tc>
        <w:tc>
          <w:tcPr>
            <w:tcW w:w="2835" w:type="dxa"/>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12,228.12</w:t>
            </w:r>
          </w:p>
        </w:tc>
        <w:tc>
          <w:tcPr>
            <w:tcW w:w="2035" w:type="dxa"/>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22.52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8" w:hRule="atLeast"/>
        </w:trPr>
        <w:tc>
          <w:tcPr>
            <w:tcW w:w="3652" w:type="dxa"/>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Calibri" w:eastAsia="仿宋_GB2312" w:cs="Times New Roman"/>
                <w:color w:val="auto"/>
                <w:kern w:val="2"/>
                <w:sz w:val="32"/>
                <w:szCs w:val="32"/>
                <w:highlight w:val="none"/>
                <w:lang w:val="en-US" w:eastAsia="zh-CN" w:bidi="ar-SA"/>
              </w:rPr>
            </w:pPr>
            <w:r>
              <w:rPr>
                <w:rFonts w:hint="eastAsia" w:ascii="仿宋_GB2312" w:eastAsia="仿宋_GB2312"/>
                <w:color w:val="auto"/>
                <w:sz w:val="32"/>
                <w:szCs w:val="32"/>
                <w:highlight w:val="none"/>
                <w:lang w:eastAsia="zh-CN"/>
              </w:rPr>
              <w:t>农、林、牧、渔业</w:t>
            </w:r>
          </w:p>
        </w:tc>
        <w:tc>
          <w:tcPr>
            <w:tcW w:w="2835" w:type="dxa"/>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_GB2312" w:hAnsi="Calibri" w:eastAsia="仿宋_GB2312" w:cs="Times New Roman"/>
                <w:color w:val="auto"/>
                <w:kern w:val="2"/>
                <w:sz w:val="32"/>
                <w:szCs w:val="32"/>
                <w:highlight w:val="none"/>
                <w:lang w:val="en-US" w:eastAsia="zh-CN" w:bidi="ar-SA"/>
              </w:rPr>
            </w:pPr>
            <w:r>
              <w:rPr>
                <w:rFonts w:hint="eastAsia" w:ascii="仿宋_GB2312" w:eastAsia="仿宋_GB2312"/>
                <w:color w:val="auto"/>
                <w:sz w:val="32"/>
                <w:szCs w:val="32"/>
                <w:highlight w:val="none"/>
                <w:lang w:val="en-US" w:eastAsia="zh-CN"/>
              </w:rPr>
              <w:t>4,949.76</w:t>
            </w:r>
          </w:p>
        </w:tc>
        <w:tc>
          <w:tcPr>
            <w:tcW w:w="2035" w:type="dxa"/>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_GB2312" w:hAnsi="Calibri" w:eastAsia="仿宋_GB2312" w:cs="Times New Roman"/>
                <w:color w:val="auto"/>
                <w:kern w:val="2"/>
                <w:sz w:val="32"/>
                <w:szCs w:val="32"/>
                <w:highlight w:val="none"/>
                <w:lang w:val="en-US" w:eastAsia="zh-CN" w:bidi="ar-SA"/>
              </w:rPr>
            </w:pPr>
            <w:r>
              <w:rPr>
                <w:rFonts w:hint="eastAsia" w:ascii="仿宋_GB2312" w:eastAsia="仿宋_GB2312"/>
                <w:color w:val="auto"/>
                <w:sz w:val="32"/>
                <w:szCs w:val="32"/>
                <w:highlight w:val="none"/>
                <w:lang w:val="en-US" w:eastAsia="zh-CN"/>
              </w:rPr>
              <w:t>9.12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52" w:type="dxa"/>
            <w:vAlign w:val="top"/>
          </w:tcPr>
          <w:p>
            <w:pPr>
              <w:keepNext w:val="0"/>
              <w:keepLines w:val="0"/>
              <w:pageBreakBefore w:val="0"/>
              <w:widowControl w:val="0"/>
              <w:tabs>
                <w:tab w:val="left" w:pos="771"/>
              </w:tabs>
              <w:kinsoku/>
              <w:wordWrap/>
              <w:overflowPunct/>
              <w:topLinePunct w:val="0"/>
              <w:autoSpaceDE/>
              <w:autoSpaceDN/>
              <w:bidi w:val="0"/>
              <w:adjustRightInd/>
              <w:snapToGrid/>
              <w:spacing w:line="540" w:lineRule="exact"/>
              <w:jc w:val="left"/>
              <w:textAlignment w:val="auto"/>
              <w:rPr>
                <w:rFonts w:hint="eastAsia" w:ascii="仿宋_GB2312" w:hAnsi="Calibri" w:eastAsia="仿宋_GB2312" w:cs="Times New Roman"/>
                <w:color w:val="auto"/>
                <w:kern w:val="2"/>
                <w:sz w:val="32"/>
                <w:szCs w:val="32"/>
                <w:highlight w:val="none"/>
                <w:lang w:val="en-US" w:eastAsia="zh-CN" w:bidi="ar-SA"/>
              </w:rPr>
            </w:pPr>
            <w:r>
              <w:rPr>
                <w:rFonts w:hint="eastAsia" w:ascii="仿宋_GB2312" w:eastAsia="仿宋_GB2312"/>
                <w:color w:val="auto"/>
                <w:sz w:val="32"/>
                <w:szCs w:val="32"/>
                <w:highlight w:val="none"/>
              </w:rPr>
              <w:t>交通运输、仓储和邮政业</w:t>
            </w:r>
          </w:p>
        </w:tc>
        <w:tc>
          <w:tcPr>
            <w:tcW w:w="2835" w:type="dxa"/>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_GB2312" w:hAnsi="Calibri" w:eastAsia="仿宋_GB2312" w:cs="Times New Roman"/>
                <w:color w:val="auto"/>
                <w:kern w:val="2"/>
                <w:sz w:val="32"/>
                <w:szCs w:val="32"/>
                <w:highlight w:val="none"/>
                <w:lang w:val="en-US" w:eastAsia="zh-CN" w:bidi="ar-SA"/>
              </w:rPr>
            </w:pPr>
            <w:r>
              <w:rPr>
                <w:rFonts w:hint="eastAsia" w:ascii="仿宋_GB2312" w:eastAsia="仿宋_GB2312"/>
                <w:color w:val="auto"/>
                <w:sz w:val="32"/>
                <w:szCs w:val="32"/>
                <w:highlight w:val="none"/>
                <w:lang w:val="en-US" w:eastAsia="zh-CN"/>
              </w:rPr>
              <w:t>2,389.61</w:t>
            </w:r>
          </w:p>
        </w:tc>
        <w:tc>
          <w:tcPr>
            <w:tcW w:w="2035" w:type="dxa"/>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_GB2312" w:hAnsi="Calibri" w:eastAsia="仿宋_GB2312" w:cs="Times New Roman"/>
                <w:color w:val="auto"/>
                <w:kern w:val="2"/>
                <w:sz w:val="32"/>
                <w:szCs w:val="32"/>
                <w:highlight w:val="none"/>
                <w:lang w:val="en-US" w:eastAsia="zh-CN" w:bidi="ar-SA"/>
              </w:rPr>
            </w:pPr>
            <w:r>
              <w:rPr>
                <w:rFonts w:hint="eastAsia" w:ascii="仿宋_GB2312" w:eastAsia="仿宋_GB2312"/>
                <w:color w:val="auto"/>
                <w:sz w:val="32"/>
                <w:szCs w:val="32"/>
                <w:highlight w:val="none"/>
                <w:lang w:val="en-US" w:eastAsia="zh-CN"/>
              </w:rPr>
              <w:t>4.40</w:t>
            </w:r>
          </w:p>
        </w:tc>
      </w:tr>
    </w:tbl>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color w:val="auto"/>
          <w:sz w:val="32"/>
          <w:szCs w:val="28"/>
          <w:highlight w:val="none"/>
          <w:lang w:val="en-US" w:eastAsia="zh-CN"/>
        </w:rPr>
      </w:pPr>
      <w:r>
        <w:rPr>
          <w:rFonts w:hint="eastAsia" w:eastAsia="仿宋_GB2312"/>
          <w:color w:val="auto"/>
          <w:sz w:val="32"/>
          <w:szCs w:val="28"/>
          <w:highlight w:val="none"/>
          <w:lang w:val="en-US" w:eastAsia="zh-CN"/>
        </w:rPr>
        <w:t>（3）贷款风险分类方法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color w:val="auto"/>
          <w:sz w:val="32"/>
          <w:szCs w:val="28"/>
          <w:highlight w:val="none"/>
          <w:lang w:val="en-US" w:eastAsia="zh-CN"/>
        </w:rPr>
      </w:pPr>
      <w:r>
        <w:rPr>
          <w:rFonts w:hint="eastAsia" w:eastAsia="仿宋_GB2312"/>
          <w:color w:val="auto"/>
          <w:sz w:val="32"/>
          <w:szCs w:val="28"/>
          <w:highlight w:val="none"/>
          <w:lang w:val="en-US" w:eastAsia="zh-CN"/>
        </w:rPr>
        <w:t>根据《深州丰源村镇银行信贷资产风险分类管理办法》，我行按季对贷款进行风险分类。对不能按借款合同约定收回贷款本息的可能性贷款风险进行全过程管理，包括贷款风险的识别、界定、监测、控制、转移、分散与补偿，以及贷款风险管理的考核、奖罚、组织与实施等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color w:val="auto"/>
          <w:sz w:val="32"/>
          <w:szCs w:val="28"/>
          <w:highlight w:val="none"/>
          <w:lang w:val="en-US" w:eastAsia="zh-CN"/>
        </w:rPr>
      </w:pPr>
      <w:r>
        <w:rPr>
          <w:rFonts w:hint="eastAsia" w:eastAsia="仿宋_GB2312"/>
          <w:color w:val="auto"/>
          <w:sz w:val="32"/>
          <w:szCs w:val="28"/>
          <w:highlight w:val="none"/>
          <w:lang w:val="en-US" w:eastAsia="zh-CN"/>
        </w:rPr>
        <w:t>（4）支农支小业务开展情况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2"/>
          <w:sz w:val="32"/>
          <w:szCs w:val="28"/>
          <w:lang w:val="en-US" w:eastAsia="zh-CN" w:bidi="ar-SA"/>
        </w:rPr>
      </w:pPr>
      <w:r>
        <w:rPr>
          <w:rFonts w:hint="eastAsia" w:ascii="仿宋_GB2312" w:hAnsi="仿宋_GB2312" w:eastAsia="仿宋_GB2312" w:cs="仿宋_GB2312"/>
          <w:kern w:val="2"/>
          <w:sz w:val="32"/>
          <w:szCs w:val="28"/>
          <w:lang w:val="en-US" w:eastAsia="zh-CN" w:bidi="ar-SA"/>
        </w:rPr>
        <w:t xml:space="preserve"> 坚持“立足地方，服务三农、服务小微”的市场定位，继续加大对小微企业及“三农”金融扶持力度</w:t>
      </w:r>
      <w:r>
        <w:rPr>
          <w:rFonts w:hint="eastAsia" w:ascii="仿宋_GB2312" w:hAnsi="仿宋_GB2312" w:eastAsia="仿宋_GB2312" w:cs="仿宋_GB2312"/>
          <w:kern w:val="2"/>
          <w:sz w:val="32"/>
          <w:szCs w:val="28"/>
          <w:lang w:val="zh-CN" w:eastAsia="zh-CN" w:bidi="ar-SA"/>
        </w:rPr>
        <w:t>，</w:t>
      </w:r>
      <w:r>
        <w:rPr>
          <w:rFonts w:hint="eastAsia" w:ascii="仿宋_GB2312" w:hAnsi="仿宋_GB2312" w:eastAsia="仿宋_GB2312" w:cs="仿宋_GB2312"/>
          <w:kern w:val="2"/>
          <w:sz w:val="32"/>
          <w:szCs w:val="28"/>
          <w:lang w:val="en-US" w:eastAsia="zh-CN" w:bidi="ar-SA"/>
        </w:rPr>
        <w:t>补齐“三农”领域短板，截至2021年末，我行各项贷款余额为54,287.78万元，其中农户贷款600户，余额26,223.74万元，占各项贷款的48.31%；小微企业贷款327户，余额41,127.97万元，占各项贷款的75.76%。当年累计发放农户贷款15,693.40万元，399户，贷款平均利率7.66%；当年累计发放小微企业贷款32,147.00万元,235户，贷款平均利率水平为9.29%。</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cs="Times New Roman"/>
          <w:color w:val="auto"/>
          <w:sz w:val="32"/>
          <w:szCs w:val="28"/>
          <w:highlight w:val="none"/>
          <w:lang w:val="en-US" w:eastAsia="zh-CN"/>
        </w:rPr>
      </w:pPr>
      <w:r>
        <w:rPr>
          <w:rFonts w:hint="eastAsia" w:eastAsia="仿宋_GB2312" w:cs="Times New Roman"/>
          <w:color w:val="auto"/>
          <w:sz w:val="32"/>
          <w:szCs w:val="28"/>
          <w:highlight w:val="none"/>
          <w:lang w:val="en-US" w:eastAsia="zh-CN"/>
        </w:rPr>
        <w:t>（5）绿色金融工作开展情况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2"/>
          <w:sz w:val="32"/>
          <w:szCs w:val="28"/>
          <w:lang w:val="en-US" w:eastAsia="zh-CN" w:bidi="ar-SA"/>
        </w:rPr>
      </w:pPr>
      <w:r>
        <w:rPr>
          <w:rFonts w:hint="eastAsia" w:ascii="仿宋_GB2312" w:hAnsi="仿宋_GB2312" w:eastAsia="仿宋_GB2312" w:cs="仿宋_GB2312"/>
          <w:kern w:val="2"/>
          <w:sz w:val="32"/>
          <w:szCs w:val="28"/>
          <w:lang w:val="en-US" w:eastAsia="zh-CN" w:bidi="ar-SA"/>
        </w:rPr>
        <w:t>截至2021年末，我行绿色信贷余额为0。我行将持续发力绿色金融业务，积极探索和创新符合绿色经济发展要求的金融产品和服务，以满足各类绿色、低碳、循环经济发展的融资需要，推动深州市绿色生态建设和县域经济发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color w:val="auto"/>
          <w:sz w:val="32"/>
          <w:szCs w:val="28"/>
          <w:highlight w:val="none"/>
          <w:lang w:val="en-US" w:eastAsia="zh-CN"/>
        </w:rPr>
      </w:pPr>
      <w:r>
        <w:rPr>
          <w:rFonts w:hint="eastAsia" w:eastAsia="仿宋_GB2312"/>
          <w:color w:val="auto"/>
          <w:sz w:val="32"/>
          <w:szCs w:val="28"/>
          <w:highlight w:val="none"/>
          <w:lang w:val="en-US" w:eastAsia="zh-CN"/>
        </w:rPr>
        <w:t>（6）贷款损失准备情况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28"/>
          <w:highlight w:val="none"/>
          <w:lang w:val="en-US" w:eastAsia="zh-CN"/>
        </w:rPr>
      </w:pPr>
      <w:r>
        <w:rPr>
          <w:rFonts w:hint="eastAsia" w:ascii="仿宋_GB2312" w:hAnsi="仿宋_GB2312" w:eastAsia="仿宋_GB2312" w:cs="仿宋_GB2312"/>
          <w:color w:val="auto"/>
          <w:sz w:val="32"/>
          <w:szCs w:val="28"/>
          <w:highlight w:val="none"/>
          <w:lang w:val="en-US" w:eastAsia="zh-CN"/>
        </w:rPr>
        <w:t>截至2021年末，我行贷款余额为54,287.78万元，其中：正常贷款51,427.57万元、关注贷款2,209.39万元、不良贷款650.82万元。贷款损失准备年初数为1,570.00万元，本年新提取100.49万元，期末余额为1,670.49万元。拨备覆盖率为256.67%，拨贷比为3.08%。</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color w:val="auto"/>
          <w:sz w:val="32"/>
          <w:szCs w:val="28"/>
          <w:highlight w:val="none"/>
          <w:lang w:val="en-US" w:eastAsia="zh-CN"/>
        </w:rPr>
      </w:pPr>
      <w:r>
        <w:rPr>
          <w:rFonts w:hint="eastAsia" w:eastAsia="仿宋_GB2312"/>
          <w:color w:val="auto"/>
          <w:sz w:val="32"/>
          <w:szCs w:val="28"/>
          <w:highlight w:val="none"/>
          <w:lang w:val="en-US" w:eastAsia="zh-CN"/>
        </w:rPr>
        <w:t>（7）单一客户授信业务的风险管理情况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28"/>
          <w:highlight w:val="none"/>
          <w:lang w:val="en-US" w:eastAsia="zh-CN"/>
        </w:rPr>
      </w:pPr>
      <w:r>
        <w:rPr>
          <w:rFonts w:hint="eastAsia" w:ascii="仿宋_GB2312" w:hAnsi="仿宋_GB2312" w:eastAsia="仿宋_GB2312" w:cs="仿宋_GB2312"/>
          <w:color w:val="auto"/>
          <w:sz w:val="32"/>
          <w:szCs w:val="28"/>
          <w:highlight w:val="none"/>
          <w:lang w:val="en-US" w:eastAsia="zh-CN"/>
        </w:rPr>
        <w:t>我行实施了信贷授信管理，根据《深州丰源村镇银行授信管理办法》，对单笔额度在20万元（含20万元）以下的，实行“2+2+1”审批，即由两名调查人进行调查，两名审查人进行审查，由有权审批人审批；对单笔额度在20万元（不含20万元）以上的，实行审贷会审议，有权审批人审批。截至2021年末，我行资本净额</w:t>
      </w:r>
      <w:r>
        <w:rPr>
          <w:rFonts w:hint="eastAsia" w:ascii="仿宋_GB2312" w:hAnsi="仿宋_GB2312" w:eastAsia="仿宋_GB2312" w:cs="仿宋_GB2312"/>
          <w:sz w:val="32"/>
          <w:szCs w:val="28"/>
          <w:highlight w:val="none"/>
          <w:lang w:val="en-US" w:eastAsia="zh-CN"/>
        </w:rPr>
        <w:t>9,394.08</w:t>
      </w:r>
      <w:r>
        <w:rPr>
          <w:rFonts w:hint="eastAsia" w:ascii="仿宋_GB2312" w:hAnsi="仿宋_GB2312" w:eastAsia="仿宋_GB2312" w:cs="仿宋_GB2312"/>
          <w:color w:val="auto"/>
          <w:sz w:val="32"/>
          <w:szCs w:val="28"/>
          <w:highlight w:val="none"/>
          <w:lang w:val="en-US" w:eastAsia="zh-CN"/>
        </w:rPr>
        <w:t>万元，单一客户最大贷款额度为490.00万元，占资本净额的比例为5.22%，符合银监会对单一客户集中度不超过资本净额10%的要求。</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eastAsia="仿宋_GB2312"/>
          <w:b/>
          <w:bCs/>
          <w:color w:val="auto"/>
          <w:sz w:val="32"/>
          <w:szCs w:val="28"/>
          <w:highlight w:val="none"/>
          <w:lang w:val="en-US" w:eastAsia="zh-CN"/>
        </w:rPr>
      </w:pPr>
      <w:r>
        <w:rPr>
          <w:rFonts w:hint="eastAsia" w:eastAsia="仿宋_GB2312"/>
          <w:b/>
          <w:bCs/>
          <w:color w:val="auto"/>
          <w:sz w:val="32"/>
          <w:szCs w:val="28"/>
          <w:highlight w:val="none"/>
          <w:lang w:val="en-US" w:eastAsia="zh-CN"/>
        </w:rPr>
        <w:t>3.流动性风险状况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28"/>
          <w:highlight w:val="none"/>
          <w:lang w:val="en-US" w:eastAsia="zh-CN"/>
        </w:rPr>
      </w:pPr>
      <w:r>
        <w:rPr>
          <w:rFonts w:hint="eastAsia" w:ascii="仿宋_GB2312" w:hAnsi="仿宋_GB2312" w:eastAsia="仿宋_GB2312" w:cs="仿宋_GB2312"/>
          <w:color w:val="auto"/>
          <w:sz w:val="32"/>
          <w:szCs w:val="28"/>
          <w:highlight w:val="none"/>
          <w:lang w:val="en-US" w:eastAsia="zh-CN"/>
        </w:rPr>
        <w:t>我行初步建立了流动性风险监管体系，每天对资金头寸进行监控，严格执行资产负债比例管理的有关规定。严禁盲目追求信贷扩张，超比例放款；对流动性风险指标定期进行度量和监测，分析结果要及时向董事会、监事会、管理层反馈，形成了防范流动性风险的合力，与发起行签订了流动性支持协议，同时与发起行设立的域外村镇银行签订了互助协议，2020年省内四家丰源村镇银行签署流动性互助协议，以此保证资金满足流动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28"/>
          <w:highlight w:val="none"/>
          <w:lang w:val="en-US" w:eastAsia="zh-CN"/>
        </w:rPr>
      </w:pPr>
      <w:r>
        <w:rPr>
          <w:rFonts w:hint="eastAsia" w:ascii="仿宋_GB2312" w:hAnsi="仿宋_GB2312" w:eastAsia="仿宋_GB2312" w:cs="仿宋_GB2312"/>
          <w:color w:val="auto"/>
          <w:sz w:val="32"/>
          <w:szCs w:val="28"/>
          <w:highlight w:val="none"/>
          <w:lang w:val="en-US" w:eastAsia="zh-CN"/>
        </w:rPr>
        <w:t>2021年末，流动性比例为211.51%，按银保监分局对商业银行流动性比例应高于25%的要求，我行超出186.51%。</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eastAsia="仿宋_GB2312"/>
          <w:color w:val="auto"/>
          <w:sz w:val="32"/>
          <w:szCs w:val="28"/>
          <w:highlight w:val="none"/>
          <w:lang w:val="en-US" w:eastAsia="zh-CN"/>
        </w:rPr>
      </w:pPr>
      <w:r>
        <w:rPr>
          <w:rFonts w:hint="eastAsia" w:eastAsia="仿宋_GB2312"/>
          <w:b/>
          <w:bCs/>
          <w:color w:val="auto"/>
          <w:sz w:val="32"/>
          <w:szCs w:val="28"/>
          <w:highlight w:val="none"/>
          <w:lang w:val="en-US" w:eastAsia="zh-CN"/>
        </w:rPr>
        <w:t>4.市场风险状况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28"/>
          <w:highlight w:val="none"/>
          <w:lang w:val="en-US" w:eastAsia="zh-CN"/>
        </w:rPr>
      </w:pPr>
      <w:r>
        <w:rPr>
          <w:rFonts w:hint="eastAsia" w:ascii="仿宋_GB2312" w:hAnsi="仿宋_GB2312" w:eastAsia="仿宋_GB2312" w:cs="仿宋_GB2312"/>
          <w:color w:val="auto"/>
          <w:sz w:val="32"/>
          <w:szCs w:val="28"/>
          <w:highlight w:val="none"/>
          <w:lang w:val="en-US" w:eastAsia="zh-CN"/>
        </w:rPr>
        <w:t>贷款利率执行情况。我行完善了科学有效的利率定价机制，按照风险效益原则、风险覆盖原则、择优限劣原则、市场化原则、公开制原则‘对贷款利率进行定价’。每月按要求在人民银行利率监测管理系统报送，提高风险管理和定价能力。</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eastAsia="仿宋_GB2312"/>
          <w:color w:val="auto"/>
          <w:sz w:val="32"/>
          <w:szCs w:val="28"/>
          <w:highlight w:val="none"/>
          <w:lang w:val="en-US" w:eastAsia="zh-CN"/>
        </w:rPr>
      </w:pPr>
      <w:r>
        <w:rPr>
          <w:rFonts w:hint="eastAsia" w:eastAsia="仿宋_GB2312"/>
          <w:b/>
          <w:bCs/>
          <w:color w:val="auto"/>
          <w:sz w:val="32"/>
          <w:szCs w:val="28"/>
          <w:highlight w:val="none"/>
          <w:lang w:val="en-US" w:eastAsia="zh-CN"/>
        </w:rPr>
        <w:t>5.操作风险状况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28"/>
          <w:lang w:val="en-US" w:eastAsia="zh-CN"/>
        </w:rPr>
      </w:pPr>
      <w:r>
        <w:rPr>
          <w:rFonts w:hint="eastAsia" w:ascii="仿宋_GB2312" w:hAnsi="仿宋_GB2312" w:eastAsia="仿宋_GB2312" w:cs="仿宋_GB2312"/>
          <w:color w:val="auto"/>
          <w:sz w:val="32"/>
          <w:szCs w:val="28"/>
          <w:highlight w:val="none"/>
          <w:lang w:val="en-US" w:eastAsia="zh-CN"/>
        </w:rPr>
        <w:t>我行强化思想道德教育、警示教育和业务培训，扎实推进合</w:t>
      </w:r>
      <w:r>
        <w:rPr>
          <w:rFonts w:hint="eastAsia" w:ascii="仿宋_GB2312" w:hAnsi="仿宋_GB2312" w:eastAsia="仿宋_GB2312" w:cs="仿宋_GB2312"/>
          <w:sz w:val="32"/>
          <w:szCs w:val="28"/>
          <w:lang w:val="en-US" w:eastAsia="zh-CN"/>
        </w:rPr>
        <w:t>规文化建设，建立健全了适合我行操作风险管理的长效机制。在制定制度的层面上，针对制度的立项、起草、论证、评审、发布，以至修订、废止、解释、汇编等各个环节，建立全过程管理，形成了通俗易懂、规范操作的流程和权限；以超强的执行力维护制度的严肃性，推行管理问责制，打破情面关，对违规违纪的员工，不论职务高低，一律予以相应的惩处；领导干部率先垂范、尽职尽责，带头执行政策，深入了解制度执行情况和制度的适应性，分析研究操作风险产生的原因，制定针对性的防范措施，从根本上解决问题，把操作风险的防范工作落到实处，不留死角。在报告期内，辖内未发生重大操作风险事件。</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eastAsia="仿宋_GB2312"/>
          <w:b/>
          <w:bCs/>
          <w:color w:val="auto"/>
          <w:sz w:val="32"/>
          <w:szCs w:val="28"/>
          <w:highlight w:val="none"/>
          <w:lang w:val="en-US" w:eastAsia="zh-CN"/>
        </w:rPr>
      </w:pPr>
      <w:r>
        <w:rPr>
          <w:rFonts w:hint="eastAsia" w:eastAsia="仿宋_GB2312"/>
          <w:b/>
          <w:bCs/>
          <w:color w:val="auto"/>
          <w:sz w:val="32"/>
          <w:szCs w:val="28"/>
          <w:highlight w:val="none"/>
          <w:lang w:val="en-US" w:eastAsia="zh-CN"/>
        </w:rPr>
        <w:t>6.消费者权益保护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eastAsia="仿宋_GB2312"/>
          <w:b/>
          <w:bCs/>
          <w:color w:val="auto"/>
          <w:sz w:val="32"/>
          <w:szCs w:val="28"/>
          <w:highlight w:val="none"/>
          <w:lang w:val="en-US" w:eastAsia="zh-CN"/>
        </w:rPr>
      </w:pPr>
      <w:r>
        <w:rPr>
          <w:rFonts w:hint="eastAsia" w:ascii="仿宋_GB2312" w:hAnsi="仿宋_GB2312" w:eastAsia="仿宋_GB2312" w:cs="仿宋_GB2312"/>
          <w:color w:val="auto"/>
          <w:sz w:val="32"/>
          <w:szCs w:val="28"/>
          <w:highlight w:val="none"/>
          <w:lang w:val="en-US" w:eastAsia="zh-CN"/>
        </w:rPr>
        <w:t>我行成立了以董事长为组长，行长、监事长为副组长，各部门负责人为组员的金融消费者权益保护工作领导小组。制定了《消费投诉处理工作制度》《投诉责任追究制度》《投诉处理考核评价制度》《深州丰源村镇银行个人信息保护制度》《投诉信息披露制度》《重大消费投诉处理应急预案》等金融消费者权益保护相关制度，有专人具体负责客户投诉处理工作的跟踪、监督和考评。每季度组织全员学习，使每个人都深刻理解消费者权益保护工作的重要性和必要性，切实做好金融服务，把消费者权益保护工作贯彻落实到全部岗位和业务发展中。</w:t>
      </w:r>
      <w:r>
        <w:rPr>
          <w:rFonts w:hint="eastAsia" w:eastAsia="仿宋_GB2312"/>
          <w:color w:val="auto"/>
          <w:sz w:val="32"/>
          <w:szCs w:val="28"/>
          <w:lang w:eastAsia="zh-CN"/>
        </w:rPr>
        <w:t>我行存款已纳入存款保险保障范畴</w:t>
      </w:r>
      <w:r>
        <w:rPr>
          <w:rFonts w:hint="eastAsia" w:ascii="仿宋_GB2312" w:hAnsi="仿宋_GB2312" w:eastAsia="仿宋_GB2312" w:cs="仿宋_GB2312"/>
          <w:color w:val="auto"/>
          <w:sz w:val="32"/>
          <w:szCs w:val="28"/>
          <w:highlight w:val="none"/>
          <w:lang w:val="en-US" w:eastAsia="zh-CN"/>
        </w:rPr>
        <w:t>,在各营业网点公布《深州丰源村镇银行各项业务收费标准明细表》</w:t>
      </w:r>
      <w:r>
        <w:rPr>
          <w:rFonts w:hint="eastAsia" w:eastAsia="仿宋_GB2312"/>
          <w:sz w:val="32"/>
          <w:szCs w:val="28"/>
          <w:lang w:eastAsia="zh-CN"/>
        </w:rPr>
        <w:t>和《投诉管理办法》</w:t>
      </w:r>
      <w:r>
        <w:rPr>
          <w:rFonts w:hint="eastAsia" w:ascii="仿宋_GB2312" w:hAnsi="仿宋_GB2312" w:eastAsia="仿宋_GB2312" w:cs="仿宋_GB2312"/>
          <w:color w:val="auto"/>
          <w:sz w:val="32"/>
          <w:szCs w:val="28"/>
          <w:highlight w:val="none"/>
          <w:lang w:val="en-US" w:eastAsia="zh-CN"/>
        </w:rPr>
        <w:t>及投诉电话，严格按照收费标准收取费用，截至2021年底，我行未发生投诉事件。</w:t>
      </w:r>
    </w:p>
    <w:p>
      <w:pPr>
        <w:pStyle w:val="12"/>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color w:val="auto"/>
          <w:sz w:val="32"/>
          <w:szCs w:val="28"/>
          <w:highlight w:val="none"/>
          <w:lang w:val="en-US" w:eastAsia="zh-CN"/>
        </w:rPr>
      </w:pPr>
      <w:r>
        <w:rPr>
          <w:rFonts w:hint="eastAsia" w:ascii="楷体" w:hAnsi="楷体" w:eastAsia="楷体" w:cs="楷体"/>
          <w:b/>
          <w:color w:val="auto"/>
          <w:sz w:val="32"/>
          <w:szCs w:val="28"/>
          <w:highlight w:val="none"/>
          <w:lang w:val="en-US" w:eastAsia="zh-CN"/>
        </w:rPr>
        <w:t>薪酬情况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28"/>
          <w:lang w:val="en-US" w:eastAsia="zh-CN"/>
        </w:rPr>
      </w:pPr>
      <w:r>
        <w:rPr>
          <w:rFonts w:hint="eastAsia" w:ascii="仿宋_GB2312" w:eastAsia="仿宋_GB2312"/>
          <w:sz w:val="32"/>
          <w:szCs w:val="32"/>
        </w:rPr>
        <w:t>为促进深州丰源村镇银行股份有限公司法人治理现代化，建立科学的管理制度，</w:t>
      </w:r>
      <w:r>
        <w:rPr>
          <w:rFonts w:hint="eastAsia" w:ascii="仿宋_GB2312" w:hAnsi="仿宋_GB2312" w:eastAsia="仿宋_GB2312" w:cs="仿宋_GB2312"/>
          <w:sz w:val="32"/>
          <w:szCs w:val="28"/>
          <w:lang w:val="en-US" w:eastAsia="zh-CN"/>
        </w:rPr>
        <w:t>坚持按劳分配与责、权、利相结合的原则，薪酬激励公开、公正、公平，我行成立薪酬分配领导小组，领导小组下设办公室在综合管理部，负责薪酬改革配套制度的制定、检查和落实工作，及时发现和解决问题，保证薪酬分配工作有序开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28"/>
          <w:lang w:val="en-US" w:eastAsia="zh-CN"/>
        </w:rPr>
      </w:pPr>
      <w:r>
        <w:rPr>
          <w:rFonts w:hint="eastAsia" w:ascii="仿宋_GB2312" w:hAnsi="仿宋_GB2312" w:eastAsia="仿宋_GB2312" w:cs="仿宋_GB2312"/>
          <w:sz w:val="32"/>
          <w:szCs w:val="28"/>
          <w:lang w:val="en-US" w:eastAsia="zh-CN"/>
        </w:rPr>
        <w:t>薪酬构成分为基础薪金、岗位津贴、工龄津贴、</w:t>
      </w:r>
      <w:r>
        <w:rPr>
          <w:rFonts w:hint="eastAsia" w:ascii="仿宋_GB2312" w:hAnsi="仿宋_GB2312" w:eastAsia="仿宋_GB2312" w:cs="仿宋_GB2312"/>
          <w:sz w:val="32"/>
          <w:szCs w:val="28"/>
          <w:highlight w:val="none"/>
          <w:lang w:val="en-US" w:eastAsia="zh-CN"/>
        </w:rPr>
        <w:t>附加薪酬、绩效工资、年终奖金六部分。高级管理人员年终奖金按照《深州丰源村镇银行股份有限公司高级管理人员尽职考评薪酬管理办法》按年考核评定等级，兑现年终奖金。2021年薪酬总量为949.30万元，其中基本工资为359.36万元，占比37.86%。</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28"/>
          <w:lang w:val="en-US" w:eastAsia="zh-CN"/>
        </w:rPr>
      </w:pPr>
      <w:r>
        <w:rPr>
          <w:rFonts w:hint="eastAsia" w:ascii="仿宋_GB2312" w:hAnsi="仿宋_GB2312" w:eastAsia="仿宋_GB2312" w:cs="仿宋_GB2312"/>
          <w:sz w:val="32"/>
          <w:szCs w:val="28"/>
          <w:lang w:val="en-US" w:eastAsia="zh-CN"/>
        </w:rPr>
        <w:t>高级管理人员年终奖金的延期支付比例为50%，延期支付期限为3年。截至2021年末，董事长延期金额30.85万元，行长24.91万元，监事长12.46万元，副行长20.82万元，行长助理4万元。对风险有重要影响岗位上的员工，其绩效薪酬的40%以上采取延期支付的方式，延期支付期限3年。截至2021年末，延期金额4.21万元。</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eastAsia="楷体GB2312"/>
          <w:b/>
          <w:color w:val="auto"/>
          <w:sz w:val="32"/>
          <w:szCs w:val="28"/>
          <w:highlight w:val="yellow"/>
          <w:lang w:eastAsia="zh-CN"/>
        </w:rPr>
      </w:pPr>
      <w:r>
        <w:rPr>
          <w:rFonts w:hint="eastAsia" w:ascii="楷体" w:hAnsi="楷体" w:eastAsia="楷体" w:cs="楷体"/>
          <w:b/>
          <w:color w:val="auto"/>
          <w:sz w:val="32"/>
          <w:szCs w:val="28"/>
          <w:highlight w:val="none"/>
          <w:lang w:eastAsia="zh-CN"/>
        </w:rPr>
        <w:t>（五）公司治理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eastAsia="仿宋_GB2312"/>
          <w:sz w:val="32"/>
          <w:szCs w:val="28"/>
          <w:lang w:val="en-US" w:eastAsia="zh-CN"/>
        </w:rPr>
      </w:pPr>
      <w:r>
        <w:rPr>
          <w:rFonts w:hint="eastAsia" w:eastAsia="仿宋_GB2312"/>
          <w:b/>
          <w:bCs/>
          <w:sz w:val="32"/>
          <w:szCs w:val="28"/>
          <w:lang w:val="en-US" w:eastAsia="zh-CN"/>
        </w:rPr>
        <w:t>1.法人治理情况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我行已建立了比较完善的“三会一层”法人治理结构，建立健全完善的股东代表大会、董事会、监事会、高级管理层，基本形成了董事会对重大事项进行决策、高级管理层负责执行实施、监事会将加强监督的制衡关系，初步建立了激励和约束机制，各项工作稳定有序开展，有效的促进了各项业务又好又快的发展。</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eastAsia="仿宋_GB2312"/>
          <w:sz w:val="32"/>
          <w:szCs w:val="28"/>
          <w:highlight w:val="yellow"/>
          <w:lang w:val="en-US" w:eastAsia="zh-CN"/>
        </w:rPr>
      </w:pPr>
      <w:r>
        <w:rPr>
          <w:rFonts w:hint="eastAsia" w:eastAsia="仿宋_GB2312"/>
          <w:b/>
          <w:bCs/>
          <w:sz w:val="32"/>
          <w:szCs w:val="28"/>
          <w:lang w:val="en-US" w:eastAsia="zh-CN"/>
        </w:rPr>
        <w:t>2.“三会一层”、各委员会和职能部门设置情况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（1）“三会一层”各委员会设置情况。股东大会由</w:t>
      </w:r>
      <w:r>
        <w:rPr>
          <w:rFonts w:hint="eastAsia" w:eastAsia="仿宋_GB2312"/>
          <w:sz w:val="32"/>
          <w:szCs w:val="28"/>
          <w:highlight w:val="none"/>
          <w:lang w:val="en-US" w:eastAsia="zh-CN"/>
        </w:rPr>
        <w:t>29名股</w:t>
      </w:r>
      <w:r>
        <w:rPr>
          <w:rFonts w:hint="eastAsia" w:eastAsia="仿宋_GB2312"/>
          <w:sz w:val="32"/>
          <w:szCs w:val="28"/>
          <w:lang w:val="en-US" w:eastAsia="zh-CN"/>
        </w:rPr>
        <w:t>东代表组成；董事会由5名董事组成，设董事长1名；监事会由3名监事组成，设监事长1名；高级经营层设有行长、副行长、行长助理；在高级经营层下设贷审委员会，风险合规委员会，财务审批委员会，资金管理委员会。法人治理架构建设良好，内控管理流程较为完善，职责定位准确，分工明确，各负其责，形成了决策、经营和监督相辅相成、相互补充的机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2）职能部门情况。本行机关设营业部、业务发展部、风险管理部、内控合规部、综合管理部、客户管理部、办公室7个部室，职能部门设置突出了合规发展和风险管理两个方面，形成了前、中、后台相互制约、相互监督的风险控制体系，确保管理科学、经营合规、发展稳健、效益持久。</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eastAsia="仿宋_GB2312"/>
          <w:sz w:val="32"/>
          <w:szCs w:val="28"/>
          <w:highlight w:val="none"/>
          <w:lang w:val="en-US" w:eastAsia="zh-CN"/>
        </w:rPr>
      </w:pPr>
      <w:r>
        <w:rPr>
          <w:rFonts w:hint="eastAsia" w:eastAsia="仿宋_GB2312"/>
          <w:b/>
          <w:bCs/>
          <w:sz w:val="32"/>
          <w:szCs w:val="28"/>
          <w:highlight w:val="none"/>
          <w:lang w:val="en-US" w:eastAsia="zh-CN"/>
        </w:rPr>
        <w:t>3.股东代表大会召开情况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深州丰源村镇银行股份有限公司第</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次股东大会于</w:t>
      </w: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21</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日在深州丰源村镇银行4楼会议室召开。深州丰源村镇银行股份有限公司第</w:t>
      </w:r>
      <w:r>
        <w:rPr>
          <w:rFonts w:hint="eastAsia" w:ascii="仿宋_GB2312" w:hAnsi="仿宋_GB2312" w:eastAsia="仿宋_GB2312" w:cs="仿宋_GB2312"/>
          <w:sz w:val="32"/>
          <w:szCs w:val="32"/>
          <w:highlight w:val="none"/>
          <w:lang w:eastAsia="zh-CN"/>
        </w:rPr>
        <w:t>七</w:t>
      </w:r>
      <w:r>
        <w:rPr>
          <w:rFonts w:hint="eastAsia" w:ascii="仿宋_GB2312" w:hAnsi="仿宋_GB2312" w:eastAsia="仿宋_GB2312" w:cs="仿宋_GB2312"/>
          <w:sz w:val="32"/>
          <w:szCs w:val="32"/>
          <w:highlight w:val="none"/>
        </w:rPr>
        <w:t>次股东大会的股东及股东代理人共12名，占全部股份总额的9</w:t>
      </w:r>
      <w:r>
        <w:rPr>
          <w:rFonts w:hint="eastAsia" w:ascii="仿宋_GB2312" w:hAnsi="仿宋_GB2312" w:eastAsia="仿宋_GB2312" w:cs="仿宋_GB2312"/>
          <w:sz w:val="32"/>
          <w:szCs w:val="32"/>
          <w:highlight w:val="none"/>
          <w:lang w:val="en-US" w:eastAsia="zh-CN"/>
        </w:rPr>
        <w:t>1.4</w:t>
      </w:r>
      <w:r>
        <w:rPr>
          <w:rFonts w:hint="eastAsia" w:ascii="仿宋_GB2312" w:hAnsi="仿宋_GB2312" w:eastAsia="仿宋_GB2312" w:cs="仿宋_GB2312"/>
          <w:sz w:val="32"/>
          <w:szCs w:val="32"/>
          <w:highlight w:val="none"/>
        </w:rPr>
        <w:t>%。与会股东及股东代理人资格合法，所代表的股份符合法定数额，深州丰源村镇银行董事长金今子主持会议，并以投票表决方式通过了以下决议：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审议《深州丰源村镇银行股份有限公司董事会20</w:t>
      </w:r>
      <w:r>
        <w:rPr>
          <w:rFonts w:hint="eastAsia" w:ascii="仿宋_GB2312" w:eastAsia="仿宋_GB2312"/>
          <w:sz w:val="32"/>
          <w:szCs w:val="32"/>
          <w:lang w:val="en-US" w:eastAsia="zh-CN"/>
        </w:rPr>
        <w:t>20</w:t>
      </w:r>
      <w:r>
        <w:rPr>
          <w:rFonts w:hint="eastAsia" w:ascii="仿宋_GB2312" w:eastAsia="仿宋_GB2312"/>
          <w:sz w:val="32"/>
          <w:szCs w:val="32"/>
        </w:rPr>
        <w:t>年工作报告》；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审议《深州丰源村镇银行股份有限公司监事会20</w:t>
      </w:r>
      <w:r>
        <w:rPr>
          <w:rFonts w:hint="eastAsia" w:ascii="仿宋_GB2312" w:eastAsia="仿宋_GB2312"/>
          <w:sz w:val="32"/>
          <w:szCs w:val="32"/>
          <w:lang w:val="en-US" w:eastAsia="zh-CN"/>
        </w:rPr>
        <w:t>20</w:t>
      </w:r>
      <w:r>
        <w:rPr>
          <w:rFonts w:hint="eastAsia" w:ascii="仿宋_GB2312" w:eastAsia="仿宋_GB2312"/>
          <w:sz w:val="32"/>
          <w:szCs w:val="32"/>
        </w:rPr>
        <w:t>年工作报告》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3.审议《深州丰源村镇银行股份有限公司2020年度经营工作报告》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审议《深州丰源村镇银行股份有限公司</w:t>
      </w:r>
      <w:r>
        <w:rPr>
          <w:rFonts w:hint="eastAsia" w:ascii="仿宋_GB2312" w:eastAsia="仿宋_GB2312"/>
          <w:sz w:val="32"/>
          <w:szCs w:val="32"/>
          <w:lang w:val="en-US" w:eastAsia="zh-CN"/>
        </w:rPr>
        <w:t>2020年度财务决算报告</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审议《深州丰源</w:t>
      </w:r>
      <w:r>
        <w:rPr>
          <w:rFonts w:hint="eastAsia" w:ascii="仿宋_GB2312" w:eastAsia="仿宋_GB2312"/>
          <w:sz w:val="32"/>
          <w:szCs w:val="32"/>
          <w:lang w:eastAsia="zh-CN"/>
        </w:rPr>
        <w:t>村镇银行股份</w:t>
      </w:r>
      <w:r>
        <w:rPr>
          <w:rFonts w:hint="eastAsia" w:ascii="仿宋_GB2312" w:eastAsia="仿宋_GB2312"/>
          <w:sz w:val="32"/>
          <w:szCs w:val="32"/>
        </w:rPr>
        <w:t>有限公司20</w:t>
      </w:r>
      <w:r>
        <w:rPr>
          <w:rFonts w:hint="eastAsia" w:ascii="仿宋_GB2312" w:eastAsia="仿宋_GB2312"/>
          <w:sz w:val="32"/>
          <w:szCs w:val="32"/>
          <w:lang w:val="en-US" w:eastAsia="zh-CN"/>
        </w:rPr>
        <w:t>21年度</w:t>
      </w:r>
      <w:r>
        <w:rPr>
          <w:rFonts w:hint="eastAsia" w:ascii="仿宋_GB2312" w:eastAsia="仿宋_GB2312"/>
          <w:sz w:val="32"/>
          <w:szCs w:val="32"/>
          <w:lang w:eastAsia="zh-CN"/>
        </w:rPr>
        <w:t>财务预算报告</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6.</w:t>
      </w:r>
      <w:r>
        <w:rPr>
          <w:rFonts w:hint="eastAsia" w:ascii="仿宋_GB2312" w:eastAsia="仿宋_GB2312"/>
          <w:sz w:val="32"/>
          <w:szCs w:val="32"/>
          <w:lang w:eastAsia="zh-CN"/>
        </w:rPr>
        <w:t>审议《深州丰源村镇银行股份有限公司</w:t>
      </w:r>
      <w:r>
        <w:rPr>
          <w:rFonts w:hint="eastAsia" w:ascii="仿宋_GB2312" w:eastAsia="仿宋_GB2312"/>
          <w:sz w:val="32"/>
          <w:szCs w:val="32"/>
          <w:lang w:val="en-US" w:eastAsia="zh-CN"/>
        </w:rPr>
        <w:t>2020年信息披露报告</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7.</w:t>
      </w:r>
      <w:r>
        <w:rPr>
          <w:rFonts w:hint="eastAsia" w:ascii="仿宋_GB2312" w:eastAsia="仿宋_GB2312"/>
          <w:sz w:val="32"/>
          <w:szCs w:val="32"/>
          <w:lang w:eastAsia="zh-CN"/>
        </w:rPr>
        <w:t>审议《深州丰源村镇银行股份有限公司</w:t>
      </w:r>
      <w:r>
        <w:rPr>
          <w:rFonts w:hint="eastAsia" w:ascii="仿宋_GB2312" w:eastAsia="仿宋_GB2312"/>
          <w:sz w:val="32"/>
          <w:szCs w:val="32"/>
          <w:lang w:val="en-US" w:eastAsia="zh-CN"/>
        </w:rPr>
        <w:t>2020年度股金分红方案</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8.审议《关于成立深州丰源村镇银行第三届董事会的提案》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9.审议《关于拟任金今子同志作为深州丰源村镇银行第三届董事会董事长的提案》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10.审议《关于拟任彭冲同志作为深州丰源村镇银行第三届董事会董事的提案》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11.审议《关于拟任尚开义同志作为深州丰源村镇银行第三届董事会董事的提案》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12.审议《关于拟任冯雪同志作为深州丰源村镇银行第三届董事会董事的提案》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13.审议《关于拟任崔军同志作为深州丰源村镇银行第三届董事会董事的提案》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14.审议《关于设立第三届董事会各专业委员会的提案》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15.审议《关于成立深州丰源村镇银行第三届监事会的提案》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16.审议《关于拟任安祥作为深州丰源村镇银行第三届监事会监事长的提案》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17.审议《关于拟任刘聪作为深州丰源村镇银行第三届监事会监事的提案》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eastAsia="仿宋_GB2312"/>
          <w:sz w:val="32"/>
          <w:szCs w:val="32"/>
          <w:lang w:val="en-US" w:eastAsia="zh-CN"/>
        </w:rPr>
        <w:t>18.审议《关于拟任刘秀军作为深州丰源村镇银行第三届监事会监事的提案》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eastAsia="仿宋_GB2312"/>
          <w:sz w:val="32"/>
          <w:szCs w:val="28"/>
          <w:highlight w:val="none"/>
          <w:lang w:val="en-US" w:eastAsia="zh-CN"/>
        </w:rPr>
      </w:pPr>
      <w:r>
        <w:rPr>
          <w:rFonts w:hint="eastAsia" w:eastAsia="仿宋_GB2312"/>
          <w:b/>
          <w:bCs/>
          <w:sz w:val="32"/>
          <w:szCs w:val="28"/>
          <w:highlight w:val="none"/>
          <w:lang w:val="en-US" w:eastAsia="zh-CN"/>
        </w:rPr>
        <w:t>4.董事会成员基本情况</w:t>
      </w:r>
    </w:p>
    <w:tbl>
      <w:tblPr>
        <w:tblStyle w:val="7"/>
        <w:tblpPr w:leftFromText="180" w:rightFromText="180" w:vertAnchor="text" w:horzAnchor="page" w:tblpX="1538" w:tblpY="167"/>
        <w:tblOverlap w:val="never"/>
        <w:tblW w:w="90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765"/>
        <w:gridCol w:w="777"/>
        <w:gridCol w:w="2400"/>
        <w:gridCol w:w="2430"/>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979"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姓名</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性别</w:t>
            </w:r>
          </w:p>
        </w:tc>
        <w:tc>
          <w:tcPr>
            <w:tcW w:w="777"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年龄</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在股东单位任职情况</w:t>
            </w:r>
          </w:p>
        </w:tc>
        <w:tc>
          <w:tcPr>
            <w:tcW w:w="243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是否在</w:t>
            </w:r>
            <w:r>
              <w:rPr>
                <w:rFonts w:hint="eastAsia" w:ascii="仿宋_GB2312" w:eastAsia="仿宋_GB2312"/>
                <w:sz w:val="24"/>
                <w:szCs w:val="24"/>
                <w:highlight w:val="none"/>
                <w:lang w:val="en-US" w:eastAsia="zh-CN"/>
              </w:rPr>
              <w:t>本</w:t>
            </w:r>
            <w:r>
              <w:rPr>
                <w:rFonts w:hint="eastAsia" w:ascii="仿宋_GB2312" w:eastAsia="仿宋_GB2312"/>
                <w:sz w:val="24"/>
                <w:szCs w:val="24"/>
                <w:highlight w:val="none"/>
              </w:rPr>
              <w:t>单位领薪酬</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是否持有股份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979"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金今子</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女</w:t>
            </w:r>
          </w:p>
        </w:tc>
        <w:tc>
          <w:tcPr>
            <w:tcW w:w="777"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53</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董事长</w:t>
            </w:r>
          </w:p>
        </w:tc>
        <w:tc>
          <w:tcPr>
            <w:tcW w:w="243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是</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979"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彭冲</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男</w:t>
            </w:r>
          </w:p>
        </w:tc>
        <w:tc>
          <w:tcPr>
            <w:tcW w:w="777"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41</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rPr>
              <w:t>董事</w:t>
            </w:r>
            <w:r>
              <w:rPr>
                <w:rFonts w:hint="eastAsia" w:ascii="仿宋_GB2312" w:eastAsia="仿宋_GB2312"/>
                <w:sz w:val="24"/>
                <w:szCs w:val="24"/>
                <w:highlight w:val="none"/>
                <w:lang w:eastAsia="zh-CN"/>
              </w:rPr>
              <w:t>、行长</w:t>
            </w:r>
          </w:p>
        </w:tc>
        <w:tc>
          <w:tcPr>
            <w:tcW w:w="243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是</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979"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尚开义</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男</w:t>
            </w:r>
          </w:p>
        </w:tc>
        <w:tc>
          <w:tcPr>
            <w:tcW w:w="777"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54</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董事</w:t>
            </w:r>
          </w:p>
        </w:tc>
        <w:tc>
          <w:tcPr>
            <w:tcW w:w="243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否</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979"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冯雪</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女</w:t>
            </w:r>
          </w:p>
        </w:tc>
        <w:tc>
          <w:tcPr>
            <w:tcW w:w="777"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35</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董事</w:t>
            </w:r>
          </w:p>
        </w:tc>
        <w:tc>
          <w:tcPr>
            <w:tcW w:w="243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否</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979"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崔军</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男</w:t>
            </w:r>
          </w:p>
        </w:tc>
        <w:tc>
          <w:tcPr>
            <w:tcW w:w="777"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48</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董事</w:t>
            </w:r>
          </w:p>
        </w:tc>
        <w:tc>
          <w:tcPr>
            <w:tcW w:w="243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否</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否</w:t>
            </w:r>
          </w:p>
        </w:tc>
      </w:tr>
    </w:tbl>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28"/>
          <w:lang w:val="en-US" w:eastAsia="zh-CN"/>
        </w:rPr>
      </w:pPr>
      <w:r>
        <w:rPr>
          <w:rFonts w:hint="eastAsia" w:ascii="仿宋_GB2312" w:hAnsi="仿宋_GB2312" w:eastAsia="仿宋_GB2312" w:cs="仿宋_GB2312"/>
          <w:sz w:val="32"/>
          <w:szCs w:val="28"/>
          <w:lang w:val="en-US" w:eastAsia="zh-CN"/>
        </w:rPr>
        <w:t>主发起行于2014年11月14日派驻董事长，监事长，未在其他机构兼职。</w:t>
      </w:r>
    </w:p>
    <w:p>
      <w:pPr>
        <w:keepNext w:val="0"/>
        <w:keepLines w:val="0"/>
        <w:pageBreakBefore w:val="0"/>
        <w:widowControl w:val="0"/>
        <w:kinsoku/>
        <w:wordWrap/>
        <w:overflowPunct/>
        <w:topLinePunct w:val="0"/>
        <w:autoSpaceDE/>
        <w:autoSpaceDN/>
        <w:bidi w:val="0"/>
        <w:adjustRightInd/>
        <w:snapToGrid/>
        <w:spacing w:line="540" w:lineRule="exact"/>
        <w:ind w:firstLine="320" w:firstLineChars="100"/>
        <w:textAlignment w:val="auto"/>
        <w:rPr>
          <w:rFonts w:hint="eastAsia" w:eastAsia="仿宋_GB2312"/>
          <w:sz w:val="32"/>
          <w:szCs w:val="28"/>
          <w:lang w:val="en-US" w:eastAsia="zh-CN"/>
        </w:rPr>
      </w:pPr>
      <w:r>
        <w:rPr>
          <w:rFonts w:hint="eastAsia" w:eastAsia="仿宋_GB2312"/>
          <w:sz w:val="32"/>
          <w:szCs w:val="28"/>
          <w:lang w:val="en-US" w:eastAsia="zh-CN"/>
        </w:rPr>
        <w:t xml:space="preserve">  </w:t>
      </w:r>
      <w:r>
        <w:rPr>
          <w:rFonts w:hint="eastAsia" w:eastAsia="仿宋_GB2312"/>
          <w:b/>
          <w:bCs/>
          <w:sz w:val="32"/>
          <w:szCs w:val="28"/>
          <w:lang w:val="en-US" w:eastAsia="zh-CN"/>
        </w:rPr>
        <w:t>5.董事会会议召开情况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28"/>
          <w:highlight w:val="none"/>
          <w:lang w:val="en-US" w:eastAsia="zh-CN"/>
        </w:rPr>
        <w:t>2021年深州丰源村镇银行股份有限公司总共召开4次董事会。2月13日，召开第二届董事会第十三次会议，审议通过2021-2023三年发展规划；4月27日，召开第二届董事会第十四次会议，审议通过董事会年报、信息披露报告、财务报告、股金分红和董事会换届事项等；6月17日，召开第三届董事会第一次会议，审议通过了公维鑫出让股权事项；12月17日，召开第三届董事会第二次会议，对董事长进行授权。</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eastAsia="仿宋_GB2312"/>
          <w:b/>
          <w:bCs/>
          <w:sz w:val="32"/>
          <w:szCs w:val="28"/>
          <w:highlight w:val="none"/>
          <w:lang w:val="en-US" w:eastAsia="zh-CN"/>
        </w:rPr>
      </w:pPr>
      <w:r>
        <w:rPr>
          <w:rFonts w:hint="eastAsia" w:ascii="仿宋_GB2312" w:hAnsi="仿宋_GB2312" w:eastAsia="仿宋_GB2312" w:cs="仿宋_GB2312"/>
          <w:b/>
          <w:bCs/>
          <w:sz w:val="32"/>
          <w:szCs w:val="32"/>
          <w:highlight w:val="none"/>
          <w:lang w:val="en-US" w:eastAsia="zh-CN"/>
        </w:rPr>
        <w:t>6.</w:t>
      </w:r>
      <w:r>
        <w:rPr>
          <w:rFonts w:hint="eastAsia" w:eastAsia="仿宋_GB2312"/>
          <w:b/>
          <w:bCs/>
          <w:sz w:val="32"/>
          <w:szCs w:val="28"/>
          <w:highlight w:val="none"/>
          <w:lang w:val="en-US" w:eastAsia="zh-CN"/>
        </w:rPr>
        <w:t>监事会成员基本情况</w:t>
      </w:r>
    </w:p>
    <w:tbl>
      <w:tblPr>
        <w:tblStyle w:val="7"/>
        <w:tblW w:w="89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765"/>
        <w:gridCol w:w="750"/>
        <w:gridCol w:w="2187"/>
        <w:gridCol w:w="1680"/>
        <w:gridCol w:w="1425"/>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979"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姓名</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性别</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年龄</w:t>
            </w:r>
          </w:p>
        </w:tc>
        <w:tc>
          <w:tcPr>
            <w:tcW w:w="2187"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派出单位</w:t>
            </w:r>
          </w:p>
        </w:tc>
        <w:tc>
          <w:tcPr>
            <w:tcW w:w="168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在股东单位任职情况</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是否在</w:t>
            </w:r>
            <w:r>
              <w:rPr>
                <w:rFonts w:hint="eastAsia" w:ascii="仿宋_GB2312" w:eastAsia="仿宋_GB2312"/>
                <w:sz w:val="24"/>
                <w:szCs w:val="24"/>
                <w:highlight w:val="none"/>
                <w:lang w:val="en-US" w:eastAsia="zh-CN"/>
              </w:rPr>
              <w:t>本</w:t>
            </w:r>
            <w:r>
              <w:rPr>
                <w:rFonts w:hint="eastAsia" w:ascii="仿宋_GB2312" w:eastAsia="仿宋_GB2312"/>
                <w:sz w:val="24"/>
                <w:szCs w:val="24"/>
                <w:highlight w:val="none"/>
              </w:rPr>
              <w:t>单位领薪酬</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是否持有股份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979"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安祥</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男</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52</w:t>
            </w:r>
          </w:p>
        </w:tc>
        <w:tc>
          <w:tcPr>
            <w:tcW w:w="2187"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深州丰源村镇银行</w:t>
            </w:r>
          </w:p>
        </w:tc>
        <w:tc>
          <w:tcPr>
            <w:tcW w:w="168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监事长</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是</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979"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刘聪</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女</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42</w:t>
            </w:r>
          </w:p>
        </w:tc>
        <w:tc>
          <w:tcPr>
            <w:tcW w:w="2187"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深州丰源村镇银行</w:t>
            </w:r>
          </w:p>
        </w:tc>
        <w:tc>
          <w:tcPr>
            <w:tcW w:w="168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lang w:eastAsia="zh-CN"/>
              </w:rPr>
              <w:t>职工</w:t>
            </w:r>
            <w:r>
              <w:rPr>
                <w:rFonts w:hint="eastAsia" w:ascii="仿宋_GB2312" w:eastAsia="仿宋_GB2312"/>
                <w:sz w:val="24"/>
                <w:szCs w:val="24"/>
                <w:highlight w:val="none"/>
              </w:rPr>
              <w:t>监事</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是</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979"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刘秀军</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男</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54</w:t>
            </w:r>
          </w:p>
        </w:tc>
        <w:tc>
          <w:tcPr>
            <w:tcW w:w="2187"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河北联兴佳垚农业科技有限公司</w:t>
            </w:r>
          </w:p>
        </w:tc>
        <w:tc>
          <w:tcPr>
            <w:tcW w:w="168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lang w:eastAsia="zh-CN"/>
              </w:rPr>
              <w:t>股东</w:t>
            </w:r>
            <w:r>
              <w:rPr>
                <w:rFonts w:hint="eastAsia" w:ascii="仿宋_GB2312" w:eastAsia="仿宋_GB2312"/>
                <w:sz w:val="24"/>
                <w:szCs w:val="24"/>
                <w:highlight w:val="none"/>
              </w:rPr>
              <w:t>监事</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否</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是</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640" w:leftChars="0"/>
        <w:textAlignment w:val="auto"/>
        <w:rPr>
          <w:rFonts w:hint="eastAsia" w:ascii="仿宋_GB2312" w:eastAsia="仿宋_GB2312"/>
          <w:b/>
          <w:bCs w:val="0"/>
          <w:color w:val="000000"/>
          <w:sz w:val="32"/>
          <w:szCs w:val="32"/>
          <w:highlight w:val="none"/>
        </w:rPr>
      </w:pPr>
      <w:r>
        <w:rPr>
          <w:rFonts w:hint="eastAsia" w:ascii="仿宋_GB2312" w:eastAsia="仿宋_GB2312"/>
          <w:b/>
          <w:bCs w:val="0"/>
          <w:color w:val="000000"/>
          <w:sz w:val="32"/>
          <w:szCs w:val="32"/>
          <w:highlight w:val="none"/>
          <w:lang w:val="en-US" w:eastAsia="zh-CN"/>
        </w:rPr>
        <w:t>7.</w:t>
      </w:r>
      <w:r>
        <w:rPr>
          <w:rFonts w:hint="eastAsia" w:ascii="仿宋_GB2312" w:eastAsia="仿宋_GB2312"/>
          <w:b/>
          <w:bCs w:val="0"/>
          <w:color w:val="000000"/>
          <w:sz w:val="32"/>
          <w:szCs w:val="32"/>
          <w:highlight w:val="none"/>
        </w:rPr>
        <w:t>监事会会议召开情况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深州丰源村镇银行股份有限公司总共召开4次监事会。2月24日，召开第二届监事会第十三次会议会议，审议通过了董事会和高管年度履职评价报告；4月27日，召开第二届监事会第十四次会议，审议通过了监事会年度报告和监事会换届事项；10月12日，召开第三届监事会第一次会议，组织全体监事学习《银行保险机构公司治理准则》；12月17日，召开第三届监事会第二次会议，审议《深州丰源村镇银行不良贷款责任认定、追究管理办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640" w:leftChars="0"/>
        <w:textAlignment w:val="auto"/>
        <w:rPr>
          <w:rFonts w:hint="eastAsia" w:ascii="仿宋_GB2312" w:eastAsia="仿宋_GB2312"/>
          <w:b/>
          <w:bCs w:val="0"/>
          <w:color w:val="000000"/>
          <w:sz w:val="32"/>
          <w:szCs w:val="32"/>
          <w:highlight w:val="none"/>
        </w:rPr>
      </w:pPr>
      <w:r>
        <w:rPr>
          <w:rFonts w:hint="eastAsia" w:ascii="仿宋_GB2312" w:eastAsia="仿宋_GB2312"/>
          <w:b/>
          <w:bCs w:val="0"/>
          <w:color w:val="000000"/>
          <w:sz w:val="32"/>
          <w:szCs w:val="32"/>
          <w:highlight w:val="none"/>
          <w:lang w:val="en-US" w:eastAsia="zh-CN"/>
        </w:rPr>
        <w:t>8.</w:t>
      </w:r>
      <w:r>
        <w:rPr>
          <w:rFonts w:hint="eastAsia" w:ascii="仿宋_GB2312" w:eastAsia="仿宋_GB2312"/>
          <w:b/>
          <w:bCs w:val="0"/>
          <w:color w:val="000000"/>
          <w:sz w:val="32"/>
          <w:szCs w:val="32"/>
          <w:highlight w:val="none"/>
        </w:rPr>
        <w:t>高级管理层成员基本情况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640" w:leftChars="0"/>
        <w:textAlignment w:val="auto"/>
        <w:rPr>
          <w:rFonts w:hint="eastAsia" w:ascii="仿宋_GB2312" w:eastAsia="仿宋_GB2312"/>
          <w:b/>
          <w:bCs w:val="0"/>
          <w:color w:val="000000"/>
          <w:sz w:val="32"/>
          <w:szCs w:val="32"/>
          <w:highlight w:val="none"/>
        </w:rPr>
      </w:pPr>
    </w:p>
    <w:tbl>
      <w:tblPr>
        <w:tblStyle w:val="7"/>
        <w:tblW w:w="8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68"/>
        <w:gridCol w:w="870"/>
        <w:gridCol w:w="3962"/>
        <w:gridCol w:w="1243"/>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1003"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姓名</w:t>
            </w:r>
          </w:p>
        </w:tc>
        <w:tc>
          <w:tcPr>
            <w:tcW w:w="768"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性别</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从业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年限</w:t>
            </w:r>
          </w:p>
        </w:tc>
        <w:tc>
          <w:tcPr>
            <w:tcW w:w="3962"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分管工作范围</w:t>
            </w: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是否领取薪酬</w:t>
            </w:r>
          </w:p>
        </w:tc>
        <w:tc>
          <w:tcPr>
            <w:tcW w:w="1117"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6" w:hRule="atLeast"/>
        </w:trPr>
        <w:tc>
          <w:tcPr>
            <w:tcW w:w="1003"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金今子</w:t>
            </w:r>
          </w:p>
        </w:tc>
        <w:tc>
          <w:tcPr>
            <w:tcW w:w="768"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女</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34</w:t>
            </w:r>
          </w:p>
        </w:tc>
        <w:tc>
          <w:tcPr>
            <w:tcW w:w="3962"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eastAsia="仿宋_GB2312"/>
                <w:sz w:val="24"/>
                <w:szCs w:val="24"/>
                <w:highlight w:val="none"/>
              </w:rPr>
            </w:pPr>
            <w:r>
              <w:rPr>
                <w:rFonts w:hint="eastAsia" w:ascii="仿宋_GB2312" w:eastAsia="仿宋_GB2312"/>
                <w:sz w:val="24"/>
                <w:szCs w:val="24"/>
                <w:highlight w:val="none"/>
                <w:lang w:eastAsia="zh-CN"/>
              </w:rPr>
              <w:t>主管全行全面工作</w:t>
            </w:r>
            <w:r>
              <w:rPr>
                <w:rFonts w:hint="eastAsia" w:ascii="仿宋_GB2312" w:eastAsia="仿宋_GB2312"/>
                <w:color w:val="auto"/>
                <w:sz w:val="24"/>
                <w:szCs w:val="24"/>
                <w:highlight w:val="none"/>
                <w:lang w:eastAsia="zh-CN"/>
              </w:rPr>
              <w:t>，</w:t>
            </w:r>
            <w:r>
              <w:rPr>
                <w:rFonts w:hint="eastAsia" w:ascii="仿宋_GB2312" w:eastAsia="仿宋_GB2312"/>
                <w:color w:val="auto"/>
                <w:sz w:val="24"/>
                <w:szCs w:val="24"/>
                <w:highlight w:val="none"/>
              </w:rPr>
              <w:t>分管</w:t>
            </w:r>
            <w:r>
              <w:rPr>
                <w:rFonts w:hint="eastAsia" w:ascii="仿宋_GB2312" w:eastAsia="仿宋_GB2312"/>
                <w:color w:val="auto"/>
                <w:sz w:val="24"/>
                <w:szCs w:val="24"/>
                <w:highlight w:val="none"/>
                <w:lang w:eastAsia="zh-CN"/>
              </w:rPr>
              <w:t>综合管理部</w:t>
            </w:r>
            <w:r>
              <w:rPr>
                <w:rFonts w:hint="eastAsia" w:ascii="仿宋_GB2312" w:eastAsia="仿宋_GB2312"/>
                <w:color w:val="auto"/>
                <w:sz w:val="24"/>
                <w:szCs w:val="24"/>
                <w:highlight w:val="none"/>
              </w:rPr>
              <w:t>，会计结算、电子银</w:t>
            </w:r>
            <w:r>
              <w:rPr>
                <w:rFonts w:hint="eastAsia" w:ascii="仿宋_GB2312" w:eastAsia="仿宋_GB2312"/>
                <w:sz w:val="24"/>
                <w:szCs w:val="24"/>
                <w:highlight w:val="none"/>
              </w:rPr>
              <w:t>行、科技、网点建设、新业务研发、工会等工作</w:t>
            </w: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是</w:t>
            </w:r>
          </w:p>
        </w:tc>
        <w:tc>
          <w:tcPr>
            <w:tcW w:w="1117"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003"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彭冲</w:t>
            </w:r>
          </w:p>
        </w:tc>
        <w:tc>
          <w:tcPr>
            <w:tcW w:w="768"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男</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21</w:t>
            </w:r>
          </w:p>
        </w:tc>
        <w:tc>
          <w:tcPr>
            <w:tcW w:w="3962"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eastAsia="仿宋_GB2312"/>
                <w:sz w:val="24"/>
                <w:szCs w:val="24"/>
                <w:highlight w:val="none"/>
              </w:rPr>
            </w:pPr>
            <w:r>
              <w:rPr>
                <w:rFonts w:hint="eastAsia" w:ascii="仿宋_GB2312" w:eastAsia="仿宋_GB2312"/>
                <w:sz w:val="24"/>
                <w:szCs w:val="24"/>
                <w:highlight w:val="none"/>
              </w:rPr>
              <w:t>分管</w:t>
            </w:r>
            <w:r>
              <w:rPr>
                <w:rFonts w:hint="eastAsia" w:ascii="仿宋_GB2312" w:eastAsia="仿宋_GB2312"/>
                <w:sz w:val="24"/>
                <w:szCs w:val="24"/>
                <w:highlight w:val="none"/>
                <w:lang w:eastAsia="zh-CN"/>
              </w:rPr>
              <w:t>风险管理部</w:t>
            </w:r>
            <w:r>
              <w:rPr>
                <w:rFonts w:hint="eastAsia" w:ascii="仿宋_GB2312" w:eastAsia="仿宋_GB2312"/>
                <w:sz w:val="24"/>
                <w:szCs w:val="24"/>
                <w:highlight w:val="none"/>
              </w:rPr>
              <w:t>和风险处置等工作</w:t>
            </w: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是</w:t>
            </w:r>
          </w:p>
        </w:tc>
        <w:tc>
          <w:tcPr>
            <w:tcW w:w="1117"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9" w:hRule="atLeast"/>
        </w:trPr>
        <w:tc>
          <w:tcPr>
            <w:tcW w:w="1003"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尹春鹤</w:t>
            </w:r>
          </w:p>
        </w:tc>
        <w:tc>
          <w:tcPr>
            <w:tcW w:w="768"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女</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25</w:t>
            </w:r>
          </w:p>
        </w:tc>
        <w:tc>
          <w:tcPr>
            <w:tcW w:w="3962"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eastAsia="仿宋_GB2312"/>
                <w:sz w:val="24"/>
                <w:szCs w:val="24"/>
                <w:highlight w:val="none"/>
              </w:rPr>
            </w:pPr>
            <w:r>
              <w:rPr>
                <w:rFonts w:hint="eastAsia" w:ascii="仿宋_GB2312" w:eastAsia="仿宋_GB2312"/>
                <w:sz w:val="24"/>
                <w:szCs w:val="24"/>
                <w:highlight w:val="none"/>
              </w:rPr>
              <w:t>分管营业部、支行，主管存款业务、对外宣传、绩效考核方案、金融机具铺设和机构设置等工作</w:t>
            </w: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是</w:t>
            </w:r>
          </w:p>
        </w:tc>
        <w:tc>
          <w:tcPr>
            <w:tcW w:w="1117"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003"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李学军</w:t>
            </w:r>
          </w:p>
        </w:tc>
        <w:tc>
          <w:tcPr>
            <w:tcW w:w="768"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男</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27</w:t>
            </w:r>
          </w:p>
        </w:tc>
        <w:tc>
          <w:tcPr>
            <w:tcW w:w="3962"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eastAsia="仿宋_GB2312"/>
                <w:sz w:val="24"/>
                <w:szCs w:val="24"/>
                <w:highlight w:val="none"/>
              </w:rPr>
            </w:pPr>
            <w:r>
              <w:rPr>
                <w:rFonts w:hint="eastAsia" w:ascii="仿宋_GB2312" w:eastAsia="仿宋_GB2312"/>
                <w:sz w:val="24"/>
                <w:szCs w:val="24"/>
                <w:highlight w:val="none"/>
              </w:rPr>
              <w:t>分管业务发展部，主管授信审批、贷款催收、审查审批和贷款绩效考核</w:t>
            </w: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是</w:t>
            </w:r>
          </w:p>
        </w:tc>
        <w:tc>
          <w:tcPr>
            <w:tcW w:w="1117"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无</w:t>
            </w:r>
          </w:p>
        </w:tc>
      </w:tr>
    </w:tbl>
    <w:p>
      <w:pPr>
        <w:pStyle w:val="12"/>
        <w:keepNext w:val="0"/>
        <w:keepLines w:val="0"/>
        <w:pageBreakBefore w:val="0"/>
        <w:widowControl w:val="0"/>
        <w:numPr>
          <w:ilvl w:val="0"/>
          <w:numId w:val="0"/>
        </w:numPr>
        <w:kinsoku/>
        <w:wordWrap/>
        <w:overflowPunct/>
        <w:topLinePunct w:val="0"/>
        <w:autoSpaceDE/>
        <w:autoSpaceDN/>
        <w:bidi w:val="0"/>
        <w:adjustRightInd/>
        <w:snapToGrid/>
        <w:spacing w:line="540" w:lineRule="exact"/>
        <w:ind w:left="602" w:leftChars="0"/>
        <w:textAlignment w:val="auto"/>
        <w:rPr>
          <w:rFonts w:hint="eastAsia" w:eastAsia="黑体"/>
          <w:b/>
          <w:sz w:val="32"/>
          <w:szCs w:val="28"/>
          <w:highlight w:val="none"/>
          <w:lang w:eastAsia="zh-CN"/>
        </w:rPr>
      </w:pPr>
      <w:r>
        <w:rPr>
          <w:rFonts w:hint="eastAsia" w:eastAsia="黑体"/>
          <w:b/>
          <w:sz w:val="32"/>
          <w:szCs w:val="28"/>
          <w:highlight w:val="none"/>
          <w:lang w:val="en-US" w:eastAsia="zh-CN"/>
        </w:rPr>
        <w:t xml:space="preserve"> </w:t>
      </w:r>
      <w:r>
        <w:rPr>
          <w:rFonts w:hint="eastAsia" w:eastAsia="黑体"/>
          <w:b w:val="0"/>
          <w:bCs/>
          <w:sz w:val="32"/>
          <w:szCs w:val="28"/>
          <w:highlight w:val="none"/>
          <w:lang w:eastAsia="zh-CN"/>
        </w:rPr>
        <w:t>五、重要提示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b w:val="0"/>
          <w:bCs/>
          <w:color w:val="000000"/>
          <w:sz w:val="32"/>
          <w:szCs w:val="30"/>
          <w:highlight w:val="none"/>
          <w:lang w:eastAsia="zh-CN"/>
        </w:rPr>
      </w:pPr>
      <w:r>
        <w:rPr>
          <w:rFonts w:hint="eastAsia" w:ascii="仿宋_GB2312" w:eastAsia="仿宋_GB2312"/>
          <w:b w:val="0"/>
          <w:bCs/>
          <w:color w:val="000000"/>
          <w:sz w:val="32"/>
          <w:szCs w:val="30"/>
          <w:highlight w:val="none"/>
          <w:lang w:eastAsia="zh-CN"/>
        </w:rPr>
        <w:t>本报告所载资料不存在任何虚假记载、误导性陈述或者重大遗漏，并对其内容的真实性、准确性和完整性负个别及连带责任。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right"/>
        <w:textAlignment w:val="auto"/>
        <w:rPr>
          <w:rFonts w:hint="eastAsia" w:ascii="仿宋_GB2312" w:eastAsia="仿宋_GB2312"/>
          <w:b w:val="0"/>
          <w:bCs/>
          <w:color w:val="000000"/>
          <w:sz w:val="32"/>
          <w:szCs w:val="30"/>
          <w:highlight w:val="none"/>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right"/>
        <w:textAlignment w:val="auto"/>
        <w:rPr>
          <w:rFonts w:hint="eastAsia" w:ascii="仿宋_GB2312" w:eastAsia="仿宋_GB2312"/>
          <w:b w:val="0"/>
          <w:bCs/>
          <w:color w:val="000000"/>
          <w:sz w:val="32"/>
          <w:szCs w:val="30"/>
          <w:highlight w:val="none"/>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right"/>
        <w:textAlignment w:val="auto"/>
        <w:rPr>
          <w:rFonts w:hint="eastAsia" w:ascii="仿宋_GB2312" w:eastAsia="仿宋_GB2312"/>
          <w:b w:val="0"/>
          <w:bCs/>
          <w:color w:val="000000"/>
          <w:sz w:val="32"/>
          <w:szCs w:val="30"/>
          <w:highlight w:val="none"/>
          <w:lang w:eastAsia="zh-CN"/>
        </w:rPr>
      </w:pPr>
      <w:r>
        <w:rPr>
          <w:rFonts w:hint="eastAsia" w:ascii="仿宋_GB2312" w:eastAsia="仿宋_GB2312"/>
          <w:b w:val="0"/>
          <w:bCs/>
          <w:color w:val="000000"/>
          <w:sz w:val="32"/>
          <w:szCs w:val="30"/>
          <w:highlight w:val="none"/>
          <w:lang w:eastAsia="zh-CN"/>
        </w:rPr>
        <w:t>深州丰源村镇银行股份有限公司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ascii="仿宋_GB2312" w:eastAsia="仿宋_GB2312"/>
          <w:color w:val="000000"/>
          <w:sz w:val="30"/>
          <w:szCs w:val="30"/>
        </w:rPr>
      </w:pPr>
      <w:r>
        <w:rPr>
          <w:rFonts w:hint="eastAsia" w:ascii="仿宋_GB2312" w:eastAsia="仿宋_GB2312"/>
          <w:b w:val="0"/>
          <w:bCs/>
          <w:color w:val="000000"/>
          <w:sz w:val="32"/>
          <w:szCs w:val="30"/>
          <w:highlight w:val="none"/>
          <w:lang w:val="en-US" w:eastAsia="zh-CN"/>
        </w:rPr>
        <w:t xml:space="preserve">                       二〇二</w:t>
      </w:r>
      <w:bookmarkStart w:id="0" w:name="_GoBack"/>
      <w:bookmarkEnd w:id="0"/>
      <w:r>
        <w:rPr>
          <w:rFonts w:hint="eastAsia" w:ascii="仿宋_GB2312" w:eastAsia="仿宋_GB2312"/>
          <w:b w:val="0"/>
          <w:bCs/>
          <w:color w:val="000000"/>
          <w:sz w:val="32"/>
          <w:szCs w:val="30"/>
          <w:highlight w:val="none"/>
          <w:lang w:val="en-US" w:eastAsia="zh-CN"/>
        </w:rPr>
        <w:t>二年四月二十二日</w:t>
      </w:r>
    </w:p>
    <w:sectPr>
      <w:footerReference r:id="rId3" w:type="default"/>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GB2312">
    <w:altName w:val="宋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C83BF"/>
    <w:multiLevelType w:val="singleLevel"/>
    <w:tmpl w:val="1FDC83BF"/>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4FE7"/>
    <w:rsid w:val="00001AA6"/>
    <w:rsid w:val="00006A76"/>
    <w:rsid w:val="00037B51"/>
    <w:rsid w:val="00071A20"/>
    <w:rsid w:val="00096E72"/>
    <w:rsid w:val="000B7615"/>
    <w:rsid w:val="000D20C4"/>
    <w:rsid w:val="001133EA"/>
    <w:rsid w:val="0013273C"/>
    <w:rsid w:val="00180EA0"/>
    <w:rsid w:val="001A522B"/>
    <w:rsid w:val="00202EB2"/>
    <w:rsid w:val="00254B45"/>
    <w:rsid w:val="002B13CD"/>
    <w:rsid w:val="002C1330"/>
    <w:rsid w:val="00324307"/>
    <w:rsid w:val="003572EB"/>
    <w:rsid w:val="003C7536"/>
    <w:rsid w:val="003E09C1"/>
    <w:rsid w:val="003E5FC4"/>
    <w:rsid w:val="003F0E91"/>
    <w:rsid w:val="003F7571"/>
    <w:rsid w:val="0046274A"/>
    <w:rsid w:val="0047499F"/>
    <w:rsid w:val="004B5F69"/>
    <w:rsid w:val="004C4ACF"/>
    <w:rsid w:val="00534A7A"/>
    <w:rsid w:val="00541E9C"/>
    <w:rsid w:val="00583D41"/>
    <w:rsid w:val="005B32BB"/>
    <w:rsid w:val="00613B40"/>
    <w:rsid w:val="00647AC1"/>
    <w:rsid w:val="00677C36"/>
    <w:rsid w:val="006A1701"/>
    <w:rsid w:val="006A22F8"/>
    <w:rsid w:val="006C7E38"/>
    <w:rsid w:val="006F707E"/>
    <w:rsid w:val="00726D0D"/>
    <w:rsid w:val="0076276F"/>
    <w:rsid w:val="00781F89"/>
    <w:rsid w:val="00785DD8"/>
    <w:rsid w:val="0079680E"/>
    <w:rsid w:val="007A5ACB"/>
    <w:rsid w:val="007B34D4"/>
    <w:rsid w:val="007C1E21"/>
    <w:rsid w:val="007E4BE9"/>
    <w:rsid w:val="00800662"/>
    <w:rsid w:val="00835C4A"/>
    <w:rsid w:val="00837B3B"/>
    <w:rsid w:val="00844FE7"/>
    <w:rsid w:val="00890DD3"/>
    <w:rsid w:val="008A3A80"/>
    <w:rsid w:val="008E6FEE"/>
    <w:rsid w:val="00904D4C"/>
    <w:rsid w:val="009958CD"/>
    <w:rsid w:val="009E7978"/>
    <w:rsid w:val="00A47E79"/>
    <w:rsid w:val="00A81830"/>
    <w:rsid w:val="00B055E6"/>
    <w:rsid w:val="00B20DF2"/>
    <w:rsid w:val="00B4772A"/>
    <w:rsid w:val="00B674B9"/>
    <w:rsid w:val="00B75381"/>
    <w:rsid w:val="00B93178"/>
    <w:rsid w:val="00BD3F44"/>
    <w:rsid w:val="00BE5D51"/>
    <w:rsid w:val="00BE6364"/>
    <w:rsid w:val="00BF1178"/>
    <w:rsid w:val="00C104EA"/>
    <w:rsid w:val="00D23B89"/>
    <w:rsid w:val="00D83442"/>
    <w:rsid w:val="00DA5C66"/>
    <w:rsid w:val="00DD0AE2"/>
    <w:rsid w:val="00DE3A28"/>
    <w:rsid w:val="00E204FC"/>
    <w:rsid w:val="00E55753"/>
    <w:rsid w:val="00E655EC"/>
    <w:rsid w:val="00EB5120"/>
    <w:rsid w:val="00EE27BC"/>
    <w:rsid w:val="00EE5534"/>
    <w:rsid w:val="00EF4F3A"/>
    <w:rsid w:val="00F15AE5"/>
    <w:rsid w:val="00F2348C"/>
    <w:rsid w:val="00F42DF7"/>
    <w:rsid w:val="00F53030"/>
    <w:rsid w:val="00F70F71"/>
    <w:rsid w:val="00F751A5"/>
    <w:rsid w:val="00FD41E0"/>
    <w:rsid w:val="00FE1345"/>
    <w:rsid w:val="011D4062"/>
    <w:rsid w:val="01431AAC"/>
    <w:rsid w:val="01726FEF"/>
    <w:rsid w:val="017930F7"/>
    <w:rsid w:val="01DE089D"/>
    <w:rsid w:val="01E014CC"/>
    <w:rsid w:val="02402EC0"/>
    <w:rsid w:val="02B050C6"/>
    <w:rsid w:val="02D2242F"/>
    <w:rsid w:val="037266A5"/>
    <w:rsid w:val="03C06834"/>
    <w:rsid w:val="03EF5203"/>
    <w:rsid w:val="04B507D5"/>
    <w:rsid w:val="04B635D5"/>
    <w:rsid w:val="04EC0FB6"/>
    <w:rsid w:val="04FB5F7B"/>
    <w:rsid w:val="05810815"/>
    <w:rsid w:val="06B8787B"/>
    <w:rsid w:val="080F7E75"/>
    <w:rsid w:val="08A331D5"/>
    <w:rsid w:val="08B17951"/>
    <w:rsid w:val="08CA4C78"/>
    <w:rsid w:val="090B2FE5"/>
    <w:rsid w:val="09793B17"/>
    <w:rsid w:val="097E3822"/>
    <w:rsid w:val="0ADF31C4"/>
    <w:rsid w:val="0B323CB9"/>
    <w:rsid w:val="0B542CD2"/>
    <w:rsid w:val="0BC6115D"/>
    <w:rsid w:val="0BF20D28"/>
    <w:rsid w:val="0C423D3B"/>
    <w:rsid w:val="0DCE1532"/>
    <w:rsid w:val="0E1E2FB7"/>
    <w:rsid w:val="0E4F6037"/>
    <w:rsid w:val="0E853C33"/>
    <w:rsid w:val="0EC56247"/>
    <w:rsid w:val="0EFC182E"/>
    <w:rsid w:val="0F4F3C83"/>
    <w:rsid w:val="0F821D50"/>
    <w:rsid w:val="0F8C6010"/>
    <w:rsid w:val="101523BF"/>
    <w:rsid w:val="10352359"/>
    <w:rsid w:val="10504CCA"/>
    <w:rsid w:val="11211991"/>
    <w:rsid w:val="112F0C3F"/>
    <w:rsid w:val="13714108"/>
    <w:rsid w:val="13EA01C3"/>
    <w:rsid w:val="141241FB"/>
    <w:rsid w:val="14815B34"/>
    <w:rsid w:val="14C07817"/>
    <w:rsid w:val="14F91C21"/>
    <w:rsid w:val="15663828"/>
    <w:rsid w:val="158775E0"/>
    <w:rsid w:val="15F93F11"/>
    <w:rsid w:val="167D6873"/>
    <w:rsid w:val="168D26DC"/>
    <w:rsid w:val="175B2464"/>
    <w:rsid w:val="177D2DC7"/>
    <w:rsid w:val="19281CD4"/>
    <w:rsid w:val="19410C65"/>
    <w:rsid w:val="19881560"/>
    <w:rsid w:val="19C62F9C"/>
    <w:rsid w:val="1A2B4461"/>
    <w:rsid w:val="1AB15A75"/>
    <w:rsid w:val="1B263D19"/>
    <w:rsid w:val="1B353C25"/>
    <w:rsid w:val="1CA91A58"/>
    <w:rsid w:val="1DE858B7"/>
    <w:rsid w:val="1DF36D98"/>
    <w:rsid w:val="1F4A430C"/>
    <w:rsid w:val="204D4EAF"/>
    <w:rsid w:val="207606D2"/>
    <w:rsid w:val="213E75F5"/>
    <w:rsid w:val="221D1D08"/>
    <w:rsid w:val="235D6E11"/>
    <w:rsid w:val="239F6EE9"/>
    <w:rsid w:val="23E52BB6"/>
    <w:rsid w:val="25367F6A"/>
    <w:rsid w:val="26F409F6"/>
    <w:rsid w:val="271B68B7"/>
    <w:rsid w:val="273D486E"/>
    <w:rsid w:val="281832D7"/>
    <w:rsid w:val="28E5611D"/>
    <w:rsid w:val="295F038B"/>
    <w:rsid w:val="29AE005A"/>
    <w:rsid w:val="2A464E8D"/>
    <w:rsid w:val="2A6402DE"/>
    <w:rsid w:val="2B812195"/>
    <w:rsid w:val="2BDD7F9A"/>
    <w:rsid w:val="2BF23A18"/>
    <w:rsid w:val="2CAA3408"/>
    <w:rsid w:val="2D2609BE"/>
    <w:rsid w:val="2D444914"/>
    <w:rsid w:val="2FE441BA"/>
    <w:rsid w:val="303C2C32"/>
    <w:rsid w:val="31AE2437"/>
    <w:rsid w:val="31B54A1D"/>
    <w:rsid w:val="31F51826"/>
    <w:rsid w:val="32021299"/>
    <w:rsid w:val="32614B36"/>
    <w:rsid w:val="331B5224"/>
    <w:rsid w:val="33E162AB"/>
    <w:rsid w:val="36492406"/>
    <w:rsid w:val="370A7FA7"/>
    <w:rsid w:val="3757149D"/>
    <w:rsid w:val="38360444"/>
    <w:rsid w:val="39F56226"/>
    <w:rsid w:val="3A014237"/>
    <w:rsid w:val="3AA04043"/>
    <w:rsid w:val="3BE2595D"/>
    <w:rsid w:val="3BF746F2"/>
    <w:rsid w:val="3C1575E4"/>
    <w:rsid w:val="3C2A5858"/>
    <w:rsid w:val="3C306A4A"/>
    <w:rsid w:val="3C7671BF"/>
    <w:rsid w:val="3DE347E0"/>
    <w:rsid w:val="3DF017F2"/>
    <w:rsid w:val="3E463D75"/>
    <w:rsid w:val="3F4E3A3D"/>
    <w:rsid w:val="401D15BF"/>
    <w:rsid w:val="4027225D"/>
    <w:rsid w:val="40DB2C76"/>
    <w:rsid w:val="41314396"/>
    <w:rsid w:val="4193384A"/>
    <w:rsid w:val="41C77E44"/>
    <w:rsid w:val="41DE587F"/>
    <w:rsid w:val="42646EFA"/>
    <w:rsid w:val="429E20C4"/>
    <w:rsid w:val="43B42709"/>
    <w:rsid w:val="43DE5358"/>
    <w:rsid w:val="44814B0F"/>
    <w:rsid w:val="44AD1949"/>
    <w:rsid w:val="44F86200"/>
    <w:rsid w:val="458A2CA3"/>
    <w:rsid w:val="46DD5DCF"/>
    <w:rsid w:val="46EB22A9"/>
    <w:rsid w:val="47357AE2"/>
    <w:rsid w:val="473B19EC"/>
    <w:rsid w:val="47585719"/>
    <w:rsid w:val="4771291D"/>
    <w:rsid w:val="477A6F52"/>
    <w:rsid w:val="47ED7291"/>
    <w:rsid w:val="47F9731D"/>
    <w:rsid w:val="482515E9"/>
    <w:rsid w:val="48A0425A"/>
    <w:rsid w:val="492C2781"/>
    <w:rsid w:val="498E026E"/>
    <w:rsid w:val="4B1B7449"/>
    <w:rsid w:val="4BA31B22"/>
    <w:rsid w:val="4C0F00DA"/>
    <w:rsid w:val="4C3D0173"/>
    <w:rsid w:val="4D0B3BD8"/>
    <w:rsid w:val="4DE41FB0"/>
    <w:rsid w:val="4DE904E0"/>
    <w:rsid w:val="4DFF07EF"/>
    <w:rsid w:val="4F393A95"/>
    <w:rsid w:val="4F661884"/>
    <w:rsid w:val="4FE4398C"/>
    <w:rsid w:val="5061383C"/>
    <w:rsid w:val="506D01FF"/>
    <w:rsid w:val="50921AD4"/>
    <w:rsid w:val="51322546"/>
    <w:rsid w:val="533B64E0"/>
    <w:rsid w:val="53714FF4"/>
    <w:rsid w:val="53F23D85"/>
    <w:rsid w:val="53F86552"/>
    <w:rsid w:val="547F4617"/>
    <w:rsid w:val="54C93719"/>
    <w:rsid w:val="55AF3DED"/>
    <w:rsid w:val="56865BD5"/>
    <w:rsid w:val="569C014E"/>
    <w:rsid w:val="58206467"/>
    <w:rsid w:val="58766F58"/>
    <w:rsid w:val="58CD1F3D"/>
    <w:rsid w:val="58E136FF"/>
    <w:rsid w:val="5A5B3CCD"/>
    <w:rsid w:val="5B287B9E"/>
    <w:rsid w:val="5B5828EC"/>
    <w:rsid w:val="5CF24C0B"/>
    <w:rsid w:val="5DA26695"/>
    <w:rsid w:val="5EBD2F7D"/>
    <w:rsid w:val="5EC24E86"/>
    <w:rsid w:val="5F1E3197"/>
    <w:rsid w:val="5F3E76E5"/>
    <w:rsid w:val="5F75272C"/>
    <w:rsid w:val="60D46644"/>
    <w:rsid w:val="620671E2"/>
    <w:rsid w:val="63EA067C"/>
    <w:rsid w:val="64413808"/>
    <w:rsid w:val="64791630"/>
    <w:rsid w:val="64E16D1B"/>
    <w:rsid w:val="65331A73"/>
    <w:rsid w:val="6571397B"/>
    <w:rsid w:val="6590126F"/>
    <w:rsid w:val="65C8499E"/>
    <w:rsid w:val="65E522FA"/>
    <w:rsid w:val="65F32C4F"/>
    <w:rsid w:val="66115792"/>
    <w:rsid w:val="666E039B"/>
    <w:rsid w:val="67211120"/>
    <w:rsid w:val="67393C7D"/>
    <w:rsid w:val="69232BD9"/>
    <w:rsid w:val="69744E10"/>
    <w:rsid w:val="699A07C9"/>
    <w:rsid w:val="6A746F93"/>
    <w:rsid w:val="6A785F81"/>
    <w:rsid w:val="6AB54914"/>
    <w:rsid w:val="6B0A68DC"/>
    <w:rsid w:val="6B2B5341"/>
    <w:rsid w:val="6C475BB2"/>
    <w:rsid w:val="6D3D73C4"/>
    <w:rsid w:val="6DFC1D81"/>
    <w:rsid w:val="6E992F04"/>
    <w:rsid w:val="6EE67780"/>
    <w:rsid w:val="6F2B1B77"/>
    <w:rsid w:val="6F58235A"/>
    <w:rsid w:val="6F714E79"/>
    <w:rsid w:val="700676EE"/>
    <w:rsid w:val="705D0F7D"/>
    <w:rsid w:val="727C6062"/>
    <w:rsid w:val="72B35574"/>
    <w:rsid w:val="731C2B10"/>
    <w:rsid w:val="733255DD"/>
    <w:rsid w:val="74506FC5"/>
    <w:rsid w:val="75186CAB"/>
    <w:rsid w:val="75625E25"/>
    <w:rsid w:val="756574CA"/>
    <w:rsid w:val="75B11BC3"/>
    <w:rsid w:val="7645412A"/>
    <w:rsid w:val="76C778EB"/>
    <w:rsid w:val="777F67C5"/>
    <w:rsid w:val="778C41B1"/>
    <w:rsid w:val="78D10A76"/>
    <w:rsid w:val="78D67BCB"/>
    <w:rsid w:val="79076C39"/>
    <w:rsid w:val="79154492"/>
    <w:rsid w:val="794825BC"/>
    <w:rsid w:val="79517B03"/>
    <w:rsid w:val="7970157E"/>
    <w:rsid w:val="79F8699B"/>
    <w:rsid w:val="7BB72F86"/>
    <w:rsid w:val="7BC73221"/>
    <w:rsid w:val="7BE14743"/>
    <w:rsid w:val="7C2A32C5"/>
    <w:rsid w:val="7C873112"/>
    <w:rsid w:val="7CF92699"/>
    <w:rsid w:val="7F242CCA"/>
    <w:rsid w:val="7FD065B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qFormat="1" w:uiPriority="0" w:semiHidden="0" w:name="annotation text"/>
    <w:lsdException w:qFormat="1" w:unhideWhenUsed="0" w:uiPriority="99"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qFormat="1"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0"/>
    <w:pPr>
      <w:jc w:val="left"/>
    </w:pPr>
  </w:style>
  <w:style w:type="paragraph" w:styleId="3">
    <w:name w:val="Date"/>
    <w:basedOn w:val="1"/>
    <w:next w:val="1"/>
    <w:link w:val="16"/>
    <w:unhideWhenUsed/>
    <w:qFormat/>
    <w:uiPriority w:val="0"/>
    <w:pPr>
      <w:ind w:left="100" w:leftChars="2500"/>
    </w:p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page number"/>
    <w:basedOn w:val="9"/>
    <w:unhideWhenUsed/>
    <w:qFormat/>
    <w:uiPriority w:val="0"/>
  </w:style>
  <w:style w:type="character" w:styleId="11">
    <w:name w:val="annotation reference"/>
    <w:basedOn w:val="9"/>
    <w:unhideWhenUsed/>
    <w:qFormat/>
    <w:uiPriority w:val="0"/>
    <w:rPr>
      <w:sz w:val="21"/>
      <w:szCs w:val="21"/>
    </w:rPr>
  </w:style>
  <w:style w:type="paragraph" w:customStyle="1" w:styleId="12">
    <w:name w:val="列出段落1"/>
    <w:basedOn w:val="1"/>
    <w:qFormat/>
    <w:uiPriority w:val="99"/>
    <w:pPr>
      <w:ind w:firstLine="420" w:firstLineChars="200"/>
    </w:pPr>
  </w:style>
  <w:style w:type="character" w:customStyle="1" w:styleId="13">
    <w:name w:val="页眉 Char"/>
    <w:basedOn w:val="9"/>
    <w:link w:val="5"/>
    <w:semiHidden/>
    <w:qFormat/>
    <w:locked/>
    <w:uiPriority w:val="99"/>
    <w:rPr>
      <w:rFonts w:cs="Times New Roman"/>
      <w:sz w:val="18"/>
      <w:szCs w:val="18"/>
    </w:rPr>
  </w:style>
  <w:style w:type="character" w:customStyle="1" w:styleId="14">
    <w:name w:val="页脚 Char"/>
    <w:basedOn w:val="9"/>
    <w:link w:val="4"/>
    <w:qFormat/>
    <w:locked/>
    <w:uiPriority w:val="99"/>
    <w:rPr>
      <w:rFonts w:cs="Times New Roman"/>
      <w:sz w:val="18"/>
      <w:szCs w:val="18"/>
    </w:rPr>
  </w:style>
  <w:style w:type="character" w:customStyle="1" w:styleId="15">
    <w:name w:val="页码1"/>
    <w:qFormat/>
    <w:uiPriority w:val="0"/>
    <w:rPr>
      <w:rFonts w:cs="Times New Roman"/>
    </w:rPr>
  </w:style>
  <w:style w:type="character" w:customStyle="1" w:styleId="16">
    <w:name w:val="日期 Char"/>
    <w:basedOn w:val="9"/>
    <w:link w:val="3"/>
    <w:semiHidden/>
    <w:qFormat/>
    <w:uiPriority w:val="0"/>
    <w:rPr>
      <w:rFonts w:cs="Times New Roman"/>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11</Pages>
  <Words>832</Words>
  <Characters>4748</Characters>
  <Lines>39</Lines>
  <Paragraphs>11</Paragraphs>
  <TotalTime>3</TotalTime>
  <ScaleCrop>false</ScaleCrop>
  <LinksUpToDate>false</LinksUpToDate>
  <CharactersWithSpaces>5569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2015-07-28T02:11:00Z</dcterms:created>
  <dc:creator>微软用户</dc:creator>
  <cp:lastModifiedBy>闫梓薇</cp:lastModifiedBy>
  <cp:lastPrinted>2021-04-08T08:50:00Z</cp:lastPrinted>
  <dcterms:modified xsi:type="dcterms:W3CDTF">2022-04-27T07:15:21Z</dcterms:modified>
  <dc:title>深州丰源村镇银行股份有限公司</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